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F7" w:rsidRPr="005B630F" w:rsidRDefault="00D76A05" w:rsidP="005B630F">
      <w:pPr>
        <w:shd w:val="clear" w:color="auto" w:fill="FFFFFF"/>
        <w:autoSpaceDE w:val="0"/>
        <w:autoSpaceDN w:val="0"/>
        <w:adjustRightInd w:val="0"/>
        <w:spacing w:after="0" w:line="240" w:lineRule="auto"/>
        <w:ind w:right="-297"/>
        <w:jc w:val="right"/>
        <w:rPr>
          <w:rFonts w:ascii="Times New Roman" w:hAnsi="Times New Roman"/>
          <w:sz w:val="28"/>
          <w:szCs w:val="28"/>
          <w:lang w:val="uk-UA"/>
        </w:rPr>
      </w:pPr>
      <w:r w:rsidRPr="005B630F">
        <w:rPr>
          <w:rFonts w:ascii="Times New Roman" w:hAnsi="Times New Roman"/>
          <w:sz w:val="28"/>
          <w:szCs w:val="28"/>
          <w:lang w:val="uk-UA"/>
        </w:rPr>
        <w:t>Додаток</w:t>
      </w:r>
      <w:r w:rsidR="005B630F">
        <w:rPr>
          <w:rFonts w:ascii="Times New Roman" w:hAnsi="Times New Roman"/>
          <w:sz w:val="28"/>
          <w:szCs w:val="28"/>
          <w:lang w:val="uk-UA"/>
        </w:rPr>
        <w:t xml:space="preserve"> 1 до листа</w:t>
      </w:r>
    </w:p>
    <w:p w:rsidR="005B630F" w:rsidRPr="005B630F" w:rsidRDefault="005B630F" w:rsidP="005B630F">
      <w:pPr>
        <w:shd w:val="clear" w:color="auto" w:fill="FFFFFF"/>
        <w:autoSpaceDE w:val="0"/>
        <w:autoSpaceDN w:val="0"/>
        <w:adjustRightInd w:val="0"/>
        <w:spacing w:after="0" w:line="240" w:lineRule="auto"/>
        <w:ind w:right="-297"/>
        <w:jc w:val="right"/>
        <w:rPr>
          <w:rFonts w:ascii="Times New Roman" w:hAnsi="Times New Roman"/>
          <w:sz w:val="28"/>
          <w:szCs w:val="28"/>
          <w:lang w:val="uk-UA"/>
        </w:rPr>
      </w:pPr>
      <w:r w:rsidRPr="005B630F">
        <w:rPr>
          <w:rFonts w:ascii="Times New Roman" w:hAnsi="Times New Roman"/>
          <w:sz w:val="28"/>
          <w:szCs w:val="28"/>
          <w:lang w:val="uk-UA"/>
        </w:rPr>
        <w:t>_______№_______</w:t>
      </w:r>
    </w:p>
    <w:p w:rsidR="005B630F" w:rsidRPr="00D76A05" w:rsidRDefault="005B630F" w:rsidP="002534F7">
      <w:pPr>
        <w:shd w:val="clear" w:color="auto" w:fill="FFFFFF"/>
        <w:autoSpaceDE w:val="0"/>
        <w:autoSpaceDN w:val="0"/>
        <w:adjustRightInd w:val="0"/>
        <w:spacing w:after="0" w:line="240" w:lineRule="auto"/>
        <w:ind w:right="-29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2534F7" w:rsidRDefault="002534F7" w:rsidP="002534F7">
      <w:pPr>
        <w:shd w:val="clear" w:color="auto" w:fill="FFFFFF"/>
        <w:autoSpaceDE w:val="0"/>
        <w:autoSpaceDN w:val="0"/>
        <w:adjustRightInd w:val="0"/>
        <w:spacing w:after="0" w:line="240" w:lineRule="auto"/>
        <w:ind w:right="-297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2534F7" w:rsidRPr="001B3CBB" w:rsidRDefault="002534F7" w:rsidP="002534F7">
      <w:pPr>
        <w:shd w:val="clear" w:color="auto" w:fill="FFFFFF"/>
        <w:autoSpaceDE w:val="0"/>
        <w:autoSpaceDN w:val="0"/>
        <w:adjustRightInd w:val="0"/>
        <w:spacing w:after="0" w:line="240" w:lineRule="auto"/>
        <w:ind w:right="-297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СТРАТЕГІЧНИХ</w:t>
      </w:r>
      <w:r w:rsidR="00DD1EDB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ОПЕРАТИВНИХ ЦІЛЕЙ І ЗАВДАНЬ ТА </w:t>
      </w: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>ІНДИКАТОРІВ ЇХ ВИКОНАННЯ</w:t>
      </w:r>
      <w:r w:rsidR="00AC2566">
        <w:rPr>
          <w:rFonts w:ascii="Times New Roman" w:hAnsi="Times New Roman"/>
          <w:b/>
          <w:sz w:val="28"/>
          <w:szCs w:val="28"/>
          <w:lang w:val="uk-UA"/>
        </w:rPr>
        <w:t xml:space="preserve"> В РАМКАХ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21C8E">
        <w:rPr>
          <w:rFonts w:ascii="Times New Roman" w:hAnsi="Times New Roman"/>
          <w:b/>
          <w:sz w:val="28"/>
          <w:szCs w:val="28"/>
          <w:lang w:val="uk-UA"/>
        </w:rPr>
        <w:t>СТРАТЕГІЇ 2027</w:t>
      </w:r>
    </w:p>
    <w:bookmarkEnd w:id="0"/>
    <w:p w:rsidR="002534F7" w:rsidRPr="002534F7" w:rsidRDefault="002534F7" w:rsidP="002534F7">
      <w:pPr>
        <w:pStyle w:val="1"/>
        <w:ind w:left="3900"/>
        <w:rPr>
          <w:highlight w:val="yellow"/>
          <w:lang w:val="uk-U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158"/>
        <w:gridCol w:w="3765"/>
        <w:gridCol w:w="3685"/>
      </w:tblGrid>
      <w:tr w:rsidR="002534F7" w:rsidRPr="00E449F7" w:rsidTr="002534F7">
        <w:trPr>
          <w:trHeight w:val="563"/>
          <w:jc w:val="center"/>
        </w:trPr>
        <w:tc>
          <w:tcPr>
            <w:tcW w:w="593" w:type="dxa"/>
            <w:vAlign w:val="center"/>
          </w:tcPr>
          <w:p w:rsidR="002534F7" w:rsidRPr="00F22C62" w:rsidRDefault="002534F7" w:rsidP="00706AA3">
            <w:pPr>
              <w:pStyle w:val="TableParagraph"/>
              <w:ind w:left="69"/>
              <w:jc w:val="center"/>
              <w:rPr>
                <w:b/>
                <w:sz w:val="24"/>
                <w:szCs w:val="24"/>
              </w:rPr>
            </w:pPr>
            <w:r w:rsidRPr="00F22C62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158" w:type="dxa"/>
            <w:vAlign w:val="center"/>
          </w:tcPr>
          <w:p w:rsidR="002534F7" w:rsidRPr="00F22C62" w:rsidRDefault="002534F7" w:rsidP="00706AA3">
            <w:pPr>
              <w:pStyle w:val="TableParagraph"/>
              <w:ind w:left="69"/>
              <w:jc w:val="center"/>
              <w:rPr>
                <w:b/>
                <w:sz w:val="24"/>
                <w:szCs w:val="24"/>
              </w:rPr>
            </w:pPr>
            <w:r w:rsidRPr="00F22C62">
              <w:rPr>
                <w:b/>
                <w:sz w:val="24"/>
                <w:szCs w:val="24"/>
              </w:rPr>
              <w:t>Оперативні цілі</w:t>
            </w:r>
          </w:p>
        </w:tc>
        <w:tc>
          <w:tcPr>
            <w:tcW w:w="3765" w:type="dxa"/>
            <w:vAlign w:val="center"/>
          </w:tcPr>
          <w:p w:rsidR="002534F7" w:rsidRPr="00F22C62" w:rsidRDefault="002534F7" w:rsidP="00706AA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22C62">
              <w:rPr>
                <w:b/>
                <w:sz w:val="24"/>
                <w:szCs w:val="24"/>
              </w:rPr>
              <w:t>Завдання</w:t>
            </w:r>
          </w:p>
        </w:tc>
        <w:tc>
          <w:tcPr>
            <w:tcW w:w="3685" w:type="dxa"/>
            <w:vAlign w:val="center"/>
          </w:tcPr>
          <w:p w:rsidR="002534F7" w:rsidRPr="00F22C62" w:rsidRDefault="002534F7" w:rsidP="00706AA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22C62">
              <w:rPr>
                <w:b/>
                <w:sz w:val="24"/>
                <w:szCs w:val="24"/>
              </w:rPr>
              <w:t>Одиниця виміру (індикатор)</w:t>
            </w:r>
          </w:p>
        </w:tc>
      </w:tr>
      <w:tr w:rsidR="002534F7" w:rsidRPr="00370C4B" w:rsidTr="002534F7">
        <w:trPr>
          <w:trHeight w:val="426"/>
          <w:jc w:val="center"/>
        </w:trPr>
        <w:tc>
          <w:tcPr>
            <w:tcW w:w="10201" w:type="dxa"/>
            <w:gridSpan w:val="4"/>
          </w:tcPr>
          <w:p w:rsidR="002534F7" w:rsidRPr="008A535E" w:rsidRDefault="002534F7" w:rsidP="002534F7">
            <w:pPr>
              <w:pStyle w:val="1"/>
              <w:keepNext w:val="0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right="547" w:firstLine="10"/>
              <w:rPr>
                <w:i/>
                <w:sz w:val="24"/>
                <w:szCs w:val="24"/>
                <w:lang w:val="ru-RU" w:eastAsia="en-US"/>
              </w:rPr>
            </w:pPr>
            <w:proofErr w:type="spellStart"/>
            <w:r w:rsidRPr="008A535E">
              <w:rPr>
                <w:i/>
                <w:sz w:val="24"/>
                <w:szCs w:val="24"/>
                <w:lang w:val="ru-RU" w:eastAsia="en-US"/>
              </w:rPr>
              <w:t>Збереження</w:t>
            </w:r>
            <w:proofErr w:type="spellEnd"/>
            <w:r w:rsidRPr="008A535E">
              <w:rPr>
                <w:i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8A535E">
              <w:rPr>
                <w:i/>
                <w:sz w:val="24"/>
                <w:szCs w:val="24"/>
                <w:lang w:val="ru-RU" w:eastAsia="en-US"/>
              </w:rPr>
              <w:t>розвиток</w:t>
            </w:r>
            <w:proofErr w:type="spellEnd"/>
            <w:r w:rsidRPr="008A535E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A535E">
              <w:rPr>
                <w:i/>
                <w:sz w:val="24"/>
                <w:szCs w:val="24"/>
                <w:lang w:val="ru-RU" w:eastAsia="en-US"/>
              </w:rPr>
              <w:t>людського</w:t>
            </w:r>
            <w:proofErr w:type="spellEnd"/>
            <w:r w:rsidRPr="008A535E">
              <w:rPr>
                <w:i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8A535E">
              <w:rPr>
                <w:i/>
                <w:sz w:val="24"/>
                <w:szCs w:val="24"/>
                <w:lang w:val="ru-RU" w:eastAsia="en-US"/>
              </w:rPr>
              <w:t>соціального</w:t>
            </w:r>
            <w:proofErr w:type="spellEnd"/>
            <w:r w:rsidRPr="008A535E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A535E">
              <w:rPr>
                <w:i/>
                <w:sz w:val="24"/>
                <w:szCs w:val="24"/>
                <w:lang w:val="ru-RU" w:eastAsia="en-US"/>
              </w:rPr>
              <w:t>капіталу</w:t>
            </w:r>
            <w:proofErr w:type="spellEnd"/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Забезпечення рівного доступу та підвищення якості дошкільної, загальної середньої освіти та конкурентоспроможності професійно-технічної освіти</w:t>
            </w:r>
          </w:p>
        </w:tc>
        <w:tc>
          <w:tcPr>
            <w:tcW w:w="3765" w:type="dxa"/>
            <w:shd w:val="clear" w:color="auto" w:fill="auto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1.1.1. Підвищення якості та безпеки освітніх послуг</w:t>
            </w:r>
          </w:p>
        </w:tc>
        <w:tc>
          <w:tcPr>
            <w:tcW w:w="3685" w:type="dxa"/>
          </w:tcPr>
          <w:p w:rsidR="002534F7" w:rsidRPr="00174BF9" w:rsidRDefault="00D37D2A" w:rsidP="00706AA3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створених </w:t>
            </w:r>
            <w:r w:rsidR="002534F7" w:rsidRPr="00174BF9">
              <w:rPr>
                <w:sz w:val="24"/>
                <w:szCs w:val="24"/>
              </w:rPr>
              <w:t>опорних закладів, од.</w:t>
            </w:r>
          </w:p>
          <w:p w:rsidR="002534F7" w:rsidRPr="00174BF9" w:rsidRDefault="002534F7" w:rsidP="00706AA3">
            <w:pPr>
              <w:pStyle w:val="TableParagraph"/>
              <w:ind w:left="141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Кількість відремонтованих шкіл, од.</w:t>
            </w:r>
          </w:p>
          <w:p w:rsidR="002534F7" w:rsidRPr="00174BF9" w:rsidRDefault="002534F7" w:rsidP="00706AA3">
            <w:pPr>
              <w:pStyle w:val="TableParagraph"/>
              <w:ind w:left="141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Кількість створених нових </w:t>
            </w:r>
            <w:proofErr w:type="spellStart"/>
            <w:r w:rsidRPr="00174BF9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174BF9">
              <w:rPr>
                <w:sz w:val="24"/>
                <w:szCs w:val="24"/>
              </w:rPr>
              <w:t xml:space="preserve">. місць, шт. </w:t>
            </w:r>
          </w:p>
        </w:tc>
      </w:tr>
      <w:tr w:rsidR="002534F7" w:rsidRPr="00B13582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shd w:val="clear" w:color="auto" w:fill="auto"/>
          </w:tcPr>
          <w:p w:rsidR="002534F7" w:rsidRPr="00174BF9" w:rsidRDefault="002534F7" w:rsidP="00706AA3">
            <w:pPr>
              <w:pStyle w:val="1"/>
              <w:tabs>
                <w:tab w:val="left" w:pos="992"/>
              </w:tabs>
              <w:ind w:left="284" w:right="547"/>
              <w:jc w:val="left"/>
              <w:rPr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1.1.2. Підвищення рівня охоплення дітей дошкільною освітою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141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Відсоток охоплення дошкільними навчальними закладами дітей віком 3-5 років, </w:t>
            </w:r>
            <w:r>
              <w:rPr>
                <w:sz w:val="24"/>
                <w:szCs w:val="24"/>
              </w:rPr>
              <w:t>%</w:t>
            </w:r>
          </w:p>
          <w:p w:rsidR="002534F7" w:rsidRPr="00174BF9" w:rsidRDefault="002534F7" w:rsidP="00706AA3">
            <w:pPr>
              <w:pStyle w:val="TableParagraph"/>
              <w:ind w:left="141"/>
              <w:rPr>
                <w:sz w:val="24"/>
                <w:szCs w:val="24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shd w:val="clear" w:color="auto" w:fill="auto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>1.1.3. Модернізація освітнього середовища закладів професійної (професійно-технічної) освіти відповідно до потреб регіонального ринку праці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141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Створення навчально-практичних центрів за галузевим спрямуванням на базі закладів професійної (професійно-технічної) освіти, од.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shd w:val="clear" w:color="auto" w:fill="auto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>1.1.4. Створення сучасного інклюзивного освітнього середовища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141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Кількість дітей з особливими освітніми потребами, охоплених інклюзивним навчанням, </w:t>
            </w:r>
            <w:r>
              <w:rPr>
                <w:sz w:val="24"/>
                <w:szCs w:val="24"/>
              </w:rPr>
              <w:t>%</w:t>
            </w:r>
            <w:r w:rsidRPr="00174BF9">
              <w:rPr>
                <w:sz w:val="24"/>
                <w:szCs w:val="24"/>
              </w:rPr>
              <w:t xml:space="preserve"> до загальної кількості дітей, які того потребують, </w:t>
            </w:r>
            <w:r>
              <w:rPr>
                <w:sz w:val="24"/>
                <w:szCs w:val="24"/>
              </w:rPr>
              <w:t>%</w:t>
            </w:r>
          </w:p>
          <w:p w:rsidR="002534F7" w:rsidRPr="00174BF9" w:rsidRDefault="002534F7" w:rsidP="00706AA3">
            <w:pPr>
              <w:pStyle w:val="TableParagraph"/>
              <w:ind w:left="141"/>
              <w:rPr>
                <w:sz w:val="24"/>
                <w:szCs w:val="24"/>
                <w:highlight w:val="green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shd w:val="clear" w:color="auto" w:fill="auto"/>
          </w:tcPr>
          <w:p w:rsidR="002534F7" w:rsidRPr="00174BF9" w:rsidRDefault="002534F7" w:rsidP="00706AA3">
            <w:pPr>
              <w:pStyle w:val="TableParagraph"/>
              <w:ind w:left="284"/>
              <w:rPr>
                <w:color w:val="000000"/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 xml:space="preserve">1.1.5. Впровадження моделі </w:t>
            </w:r>
            <w:r w:rsidRPr="00A97C38">
              <w:rPr>
                <w:sz w:val="24"/>
                <w:szCs w:val="24"/>
              </w:rPr>
              <w:t>„</w:t>
            </w:r>
            <w:r w:rsidRPr="00174BF9">
              <w:rPr>
                <w:sz w:val="24"/>
                <w:szCs w:val="24"/>
              </w:rPr>
              <w:t>навчання протягом життя</w:t>
            </w:r>
            <w:r w:rsidRPr="00A97C3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”</w:t>
            </w:r>
            <w:r w:rsidRPr="00174BF9">
              <w:rPr>
                <w:sz w:val="24"/>
                <w:szCs w:val="24"/>
              </w:rPr>
              <w:t xml:space="preserve"> та дуальної освіти</w:t>
            </w:r>
          </w:p>
        </w:tc>
        <w:tc>
          <w:tcPr>
            <w:tcW w:w="3685" w:type="dxa"/>
          </w:tcPr>
          <w:p w:rsidR="002534F7" w:rsidRPr="00174BF9" w:rsidRDefault="00D37D2A" w:rsidP="00706AA3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укладених </w:t>
            </w:r>
            <w:r w:rsidR="002534F7">
              <w:rPr>
                <w:sz w:val="24"/>
                <w:szCs w:val="24"/>
              </w:rPr>
              <w:t xml:space="preserve"> договорів</w:t>
            </w:r>
            <w:r w:rsidR="002534F7" w:rsidRPr="00174BF9">
              <w:rPr>
                <w:sz w:val="24"/>
                <w:szCs w:val="24"/>
              </w:rPr>
              <w:t xml:space="preserve"> з роботодавцями на впровадження дуальної форми навчання під час підготовки кваліфікованих робітників в закладах професійної (професійно-технічної) освіти, од. </w:t>
            </w:r>
          </w:p>
        </w:tc>
      </w:tr>
      <w:tr w:rsidR="002534F7" w:rsidRPr="00B13582" w:rsidTr="002534F7">
        <w:trPr>
          <w:trHeight w:val="388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Забезпечення культурно-мистецького розвитку і збільшення доступу до послуг у сфері культури для мешканців сільських та гірських територій</w:t>
            </w: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tabs>
                <w:tab w:val="left" w:pos="661"/>
                <w:tab w:val="left" w:pos="1721"/>
                <w:tab w:val="left" w:pos="2766"/>
              </w:tabs>
              <w:ind w:left="284" w:right="9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 xml:space="preserve">1.2.1. Оптимізація мережі та модернізація закладів сфери культури 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141" w:right="9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Забезпеченість послугами на 1000 осіб населення</w:t>
            </w:r>
          </w:p>
        </w:tc>
      </w:tr>
      <w:tr w:rsidR="002534F7" w:rsidRPr="00370C4B" w:rsidTr="002534F7">
        <w:trPr>
          <w:trHeight w:val="549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 xml:space="preserve">1.2.2. Створення культурних продуктів у сфері креативних індустрій 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141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культурних заходів/</w:t>
            </w:r>
            <w:r w:rsidRPr="00174BF9">
              <w:rPr>
                <w:sz w:val="24"/>
                <w:szCs w:val="24"/>
              </w:rPr>
              <w:t>до кількості учасників заходів</w:t>
            </w:r>
          </w:p>
        </w:tc>
      </w:tr>
      <w:tr w:rsidR="002534F7" w:rsidRPr="00370C4B" w:rsidTr="002534F7">
        <w:trPr>
          <w:trHeight w:val="699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158" w:type="dxa"/>
            <w:vMerge w:val="restart"/>
          </w:tcPr>
          <w:p w:rsidR="002534F7" w:rsidRPr="00E92B1F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b w:val="0"/>
                <w:color w:val="000000"/>
                <w:sz w:val="24"/>
                <w:szCs w:val="24"/>
                <w:lang w:val="uk-UA" w:eastAsia="en-US"/>
              </w:rPr>
            </w:pPr>
            <w:r w:rsidRPr="00E92B1F">
              <w:rPr>
                <w:b w:val="0"/>
                <w:color w:val="000000"/>
                <w:sz w:val="24"/>
                <w:szCs w:val="24"/>
                <w:lang w:val="uk-UA" w:eastAsia="en-US"/>
              </w:rPr>
              <w:t>Збереження регіональних об</w:t>
            </w:r>
            <w:r w:rsidRPr="00E92B1F">
              <w:rPr>
                <w:b w:val="0"/>
                <w:color w:val="000000"/>
                <w:sz w:val="24"/>
                <w:szCs w:val="24"/>
                <w:lang w:val="ru-RU" w:eastAsia="en-US"/>
              </w:rPr>
              <w:t>’</w:t>
            </w:r>
            <w:proofErr w:type="spellStart"/>
            <w:r w:rsidRPr="00E92B1F">
              <w:rPr>
                <w:b w:val="0"/>
                <w:color w:val="000000"/>
                <w:sz w:val="24"/>
                <w:szCs w:val="24"/>
                <w:lang w:val="uk-UA" w:eastAsia="en-US"/>
              </w:rPr>
              <w:t>єктів</w:t>
            </w:r>
            <w:proofErr w:type="spellEnd"/>
            <w:r w:rsidRPr="00E92B1F">
              <w:rPr>
                <w:b w:val="0"/>
                <w:color w:val="000000"/>
                <w:sz w:val="24"/>
                <w:szCs w:val="24"/>
                <w:lang w:val="uk-UA" w:eastAsia="en-US"/>
              </w:rPr>
              <w:t xml:space="preserve"> і </w:t>
            </w:r>
            <w:r w:rsidRPr="00E92B1F">
              <w:rPr>
                <w:b w:val="0"/>
                <w:color w:val="000000"/>
                <w:sz w:val="24"/>
                <w:szCs w:val="24"/>
                <w:lang w:val="uk-UA" w:eastAsia="en-US"/>
              </w:rPr>
              <w:lastRenderedPageBreak/>
              <w:t>територій історико-культурної спадщини</w:t>
            </w: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1"/>
              <w:tabs>
                <w:tab w:val="left" w:pos="992"/>
              </w:tabs>
              <w:ind w:left="284" w:right="547"/>
              <w:jc w:val="left"/>
              <w:rPr>
                <w:b w:val="0"/>
                <w:sz w:val="24"/>
                <w:szCs w:val="24"/>
                <w:lang w:val="ru-RU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lastRenderedPageBreak/>
              <w:t xml:space="preserve">1.3.1. Збереження та покращення стану об’єктів культурної спадщини в </w:t>
            </w:r>
            <w:r w:rsidRPr="00174BF9">
              <w:rPr>
                <w:b w:val="0"/>
                <w:sz w:val="24"/>
                <w:szCs w:val="24"/>
                <w:lang w:val="uk-UA" w:eastAsia="en-US"/>
              </w:rPr>
              <w:lastRenderedPageBreak/>
              <w:t>частині історії, археології та монументального мистецтва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23" w:right="9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lastRenderedPageBreak/>
              <w:t>Відсоток збережених об’єктів від загальної потреби</w:t>
            </w:r>
            <w:r>
              <w:rPr>
                <w:sz w:val="24"/>
                <w:szCs w:val="24"/>
              </w:rPr>
              <w:t>, %</w:t>
            </w:r>
          </w:p>
        </w:tc>
      </w:tr>
      <w:tr w:rsidR="002534F7" w:rsidRPr="00370C4B" w:rsidTr="002534F7">
        <w:trPr>
          <w:trHeight w:val="445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1.3.2.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Збереження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r w:rsidRPr="00174BF9">
              <w:rPr>
                <w:spacing w:val="-9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промоція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нематеріальної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культурної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спадщини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2534F7" w:rsidRPr="001D2DEC" w:rsidRDefault="002534F7" w:rsidP="00706AA3">
            <w:pPr>
              <w:pStyle w:val="TableParagraph"/>
              <w:ind w:left="223" w:right="93"/>
              <w:rPr>
                <w:sz w:val="24"/>
                <w:szCs w:val="24"/>
              </w:rPr>
            </w:pPr>
            <w:r w:rsidRPr="001D2DEC">
              <w:rPr>
                <w:sz w:val="24"/>
                <w:szCs w:val="24"/>
              </w:rPr>
              <w:t xml:space="preserve">Проведення фестивалів, ярмарок, майстер-класів, фольклорно-етнографічних заходів для популяризації народних традицій, </w:t>
            </w:r>
            <w:proofErr w:type="spellStart"/>
            <w:r w:rsidRPr="001D2DEC">
              <w:rPr>
                <w:sz w:val="24"/>
                <w:szCs w:val="24"/>
              </w:rPr>
              <w:t>ремесел</w:t>
            </w:r>
            <w:proofErr w:type="spellEnd"/>
            <w:r w:rsidRPr="001D2DEC">
              <w:rPr>
                <w:sz w:val="24"/>
                <w:szCs w:val="24"/>
              </w:rPr>
              <w:t>, фолькло</w:t>
            </w:r>
            <w:r>
              <w:rPr>
                <w:sz w:val="24"/>
                <w:szCs w:val="24"/>
              </w:rPr>
              <w:t>ру і художніх промислів, од.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Розвиток сфери соціальних послуг та зміцнення громадського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здоров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>’</w:t>
            </w:r>
            <w:r w:rsidRPr="00174BF9">
              <w:rPr>
                <w:b w:val="0"/>
                <w:sz w:val="24"/>
                <w:szCs w:val="24"/>
                <w:lang w:val="uk-UA" w:eastAsia="en-US"/>
              </w:rPr>
              <w:t>я</w:t>
            </w: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 w:right="93"/>
              <w:rPr>
                <w:b/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1.4.1.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Розширення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спектру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соціальних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новітніх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технологій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інноваційних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моделей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3685" w:type="dxa"/>
          </w:tcPr>
          <w:p w:rsidR="002534F7" w:rsidRDefault="002534F7" w:rsidP="00706AA3">
            <w:pPr>
              <w:pStyle w:val="TableParagraph"/>
              <w:ind w:left="223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Відсоток</w:t>
            </w:r>
            <w:r w:rsidRPr="00174BF9">
              <w:rPr>
                <w:sz w:val="24"/>
                <w:szCs w:val="24"/>
              </w:rPr>
              <w:t xml:space="preserve"> наданих соціальних послуг від загальної потреби населення</w:t>
            </w:r>
          </w:p>
          <w:p w:rsidR="002534F7" w:rsidRPr="001D2DEC" w:rsidRDefault="002534F7" w:rsidP="00706AA3">
            <w:pPr>
              <w:pStyle w:val="TableParagraph"/>
              <w:ind w:left="223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  <w:r>
              <w:rPr>
                <w:sz w:val="24"/>
                <w:szCs w:val="24"/>
              </w:rPr>
              <w:tab/>
              <w:t xml:space="preserve">працевлаштованих осіб за сприяння </w:t>
            </w:r>
            <w:r w:rsidRPr="001D2DEC">
              <w:rPr>
                <w:sz w:val="24"/>
                <w:szCs w:val="24"/>
              </w:rPr>
              <w:t xml:space="preserve">центру зайнятості, осіб </w:t>
            </w:r>
          </w:p>
          <w:p w:rsidR="002534F7" w:rsidRPr="00174BF9" w:rsidRDefault="002534F7" w:rsidP="00706AA3">
            <w:pPr>
              <w:pStyle w:val="TableParagraph"/>
              <w:ind w:left="223" w:right="93"/>
              <w:rPr>
                <w:sz w:val="24"/>
                <w:szCs w:val="24"/>
                <w:lang w:val="ru-RU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tabs>
                <w:tab w:val="left" w:pos="425"/>
              </w:tabs>
              <w:ind w:left="284" w:right="93"/>
              <w:rPr>
                <w:b/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1.4.2.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Реформування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інтернатних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установ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сфери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  <w:tc>
          <w:tcPr>
            <w:tcW w:w="3685" w:type="dxa"/>
          </w:tcPr>
          <w:p w:rsidR="002534F7" w:rsidRPr="00682501" w:rsidRDefault="002534F7" w:rsidP="00706AA3">
            <w:pPr>
              <w:pStyle w:val="TableParagraph"/>
              <w:ind w:left="223" w:right="93"/>
              <w:rPr>
                <w:sz w:val="24"/>
                <w:szCs w:val="24"/>
              </w:rPr>
            </w:pPr>
            <w:r w:rsidRPr="00682501">
              <w:rPr>
                <w:sz w:val="24"/>
                <w:szCs w:val="24"/>
              </w:rPr>
              <w:t>Чисельність працівників, які підвищили свою кваліфікацію, осіб</w:t>
            </w:r>
          </w:p>
          <w:p w:rsidR="002534F7" w:rsidRPr="00174BF9" w:rsidRDefault="002534F7" w:rsidP="00706AA3">
            <w:pPr>
              <w:pStyle w:val="TableParagraph"/>
              <w:tabs>
                <w:tab w:val="left" w:pos="425"/>
              </w:tabs>
              <w:ind w:left="284" w:right="93"/>
              <w:rPr>
                <w:sz w:val="24"/>
                <w:szCs w:val="24"/>
                <w:lang w:val="ru-RU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1.4.3.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матеріально-технічної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бази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установ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сфери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модернізованих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sz w:val="24"/>
                <w:szCs w:val="24"/>
                <w:lang w:val="ru-RU"/>
              </w:rPr>
              <w:t>, од.</w:t>
            </w:r>
          </w:p>
        </w:tc>
      </w:tr>
      <w:tr w:rsidR="002534F7" w:rsidRPr="00B13582" w:rsidTr="002534F7">
        <w:trPr>
          <w:trHeight w:val="55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tabs>
                <w:tab w:val="num" w:pos="344"/>
              </w:tabs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1.4.4. Розвиток сімейних форм виховання дітей-сиріт, дітей, позбавлених батьківського піклування, запобігання дитячій бездоглядності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Відсоток</w:t>
            </w:r>
            <w:r w:rsidRPr="00174BF9">
              <w:rPr>
                <w:sz w:val="24"/>
                <w:szCs w:val="24"/>
              </w:rPr>
              <w:t xml:space="preserve"> усиновлених дітей від загальної кількості ді</w:t>
            </w:r>
            <w:r>
              <w:rPr>
                <w:sz w:val="24"/>
                <w:szCs w:val="24"/>
              </w:rPr>
              <w:t>тей, які підлягають усиновленню</w:t>
            </w:r>
          </w:p>
          <w:p w:rsidR="002534F7" w:rsidRDefault="002534F7" w:rsidP="00706AA3">
            <w:pPr>
              <w:pStyle w:val="TableParagraph"/>
              <w:spacing w:before="119"/>
              <w:ind w:left="141"/>
              <w:rPr>
                <w:sz w:val="24"/>
                <w:szCs w:val="24"/>
              </w:rPr>
            </w:pPr>
            <w:r w:rsidRPr="004B6FA1">
              <w:rPr>
                <w:sz w:val="24"/>
                <w:szCs w:val="24"/>
              </w:rPr>
              <w:t xml:space="preserve">Кількість дітей, влаштованих в </w:t>
            </w:r>
            <w:r>
              <w:rPr>
                <w:sz w:val="24"/>
                <w:szCs w:val="24"/>
              </w:rPr>
              <w:t xml:space="preserve"> </w:t>
            </w:r>
            <w:r w:rsidRPr="004B6FA1">
              <w:rPr>
                <w:sz w:val="24"/>
                <w:szCs w:val="24"/>
              </w:rPr>
              <w:t>сімейні форми виховання, осіб</w:t>
            </w:r>
          </w:p>
          <w:p w:rsidR="002534F7" w:rsidRPr="003E4B36" w:rsidRDefault="002534F7" w:rsidP="00706AA3">
            <w:pPr>
              <w:pStyle w:val="TableParagraph"/>
              <w:ind w:left="141"/>
              <w:rPr>
                <w:sz w:val="24"/>
                <w:szCs w:val="24"/>
                <w:highlight w:val="yellow"/>
                <w:lang w:val="ru-RU"/>
              </w:rPr>
            </w:pPr>
            <w:r w:rsidRPr="004B6FA1">
              <w:rPr>
                <w:sz w:val="24"/>
                <w:szCs w:val="24"/>
              </w:rPr>
              <w:t xml:space="preserve">Кількість створених прийомних сімей та дитячих </w:t>
            </w:r>
            <w:r>
              <w:rPr>
                <w:sz w:val="24"/>
                <w:szCs w:val="24"/>
              </w:rPr>
              <w:t>будинків сімейного типу, од.</w:t>
            </w:r>
          </w:p>
          <w:p w:rsidR="002534F7" w:rsidRPr="004B6FA1" w:rsidRDefault="002534F7" w:rsidP="00706AA3">
            <w:pPr>
              <w:pStyle w:val="TableParagraph"/>
              <w:tabs>
                <w:tab w:val="num" w:pos="344"/>
              </w:tabs>
              <w:spacing w:before="119"/>
              <w:ind w:left="142"/>
              <w:rPr>
                <w:sz w:val="24"/>
                <w:szCs w:val="24"/>
                <w:lang w:val="ru-RU"/>
              </w:rPr>
            </w:pPr>
          </w:p>
          <w:p w:rsidR="002534F7" w:rsidRPr="004B6FA1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tabs>
                <w:tab w:val="left" w:pos="2789"/>
              </w:tabs>
              <w:ind w:left="284" w:right="35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1.4.5.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здорового способу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життя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23" w:right="9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Частка учнів, охоплених спортивними заняттями, </w:t>
            </w:r>
            <w:r>
              <w:rPr>
                <w:sz w:val="24"/>
                <w:szCs w:val="24"/>
              </w:rPr>
              <w:t>%</w:t>
            </w:r>
          </w:p>
          <w:p w:rsidR="002534F7" w:rsidRPr="00174BF9" w:rsidRDefault="002534F7" w:rsidP="00706AA3">
            <w:pPr>
              <w:pStyle w:val="TableParagraph"/>
              <w:ind w:left="223" w:right="9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Кількість проведених фізкультурно-оздоровчих заходів, од</w:t>
            </w:r>
            <w:r>
              <w:rPr>
                <w:sz w:val="24"/>
                <w:szCs w:val="24"/>
              </w:rPr>
              <w:t>.</w:t>
            </w:r>
          </w:p>
          <w:p w:rsidR="002534F7" w:rsidRPr="00174BF9" w:rsidRDefault="002534F7" w:rsidP="00706AA3">
            <w:pPr>
              <w:pStyle w:val="TableParagraph"/>
              <w:ind w:left="223" w:right="93"/>
              <w:rPr>
                <w:sz w:val="24"/>
                <w:szCs w:val="24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F37D1F">
            <w:pPr>
              <w:pStyle w:val="TableParagraph"/>
              <w:numPr>
                <w:ilvl w:val="2"/>
                <w:numId w:val="3"/>
              </w:numPr>
              <w:tabs>
                <w:tab w:val="left" w:pos="363"/>
                <w:tab w:val="left" w:pos="1072"/>
              </w:tabs>
              <w:ind w:left="363" w:firstLine="0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гендерної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рівності</w:t>
            </w:r>
            <w:proofErr w:type="spellEnd"/>
          </w:p>
        </w:tc>
        <w:tc>
          <w:tcPr>
            <w:tcW w:w="3685" w:type="dxa"/>
          </w:tcPr>
          <w:p w:rsidR="002534F7" w:rsidRDefault="002534F7" w:rsidP="00706AA3">
            <w:pPr>
              <w:pStyle w:val="TableParagraph"/>
              <w:ind w:left="223" w:right="93"/>
              <w:rPr>
                <w:sz w:val="24"/>
                <w:szCs w:val="24"/>
              </w:rPr>
            </w:pPr>
            <w:r w:rsidRPr="001D2DEC">
              <w:rPr>
                <w:sz w:val="24"/>
                <w:szCs w:val="24"/>
              </w:rPr>
              <w:t xml:space="preserve">Кількість заходів, інформаційно-просвітницьких кампаній, спрямованих на подолання ґендерних стереотипів та запобігання проявам </w:t>
            </w:r>
            <w:r>
              <w:rPr>
                <w:sz w:val="24"/>
                <w:szCs w:val="24"/>
              </w:rPr>
              <w:t>дискримінації, од.</w:t>
            </w:r>
          </w:p>
          <w:p w:rsidR="002534F7" w:rsidRPr="001D2DEC" w:rsidRDefault="002534F7" w:rsidP="00706AA3">
            <w:pPr>
              <w:pStyle w:val="TableParagraph"/>
              <w:ind w:left="223" w:right="93"/>
              <w:rPr>
                <w:sz w:val="24"/>
                <w:szCs w:val="24"/>
              </w:rPr>
            </w:pPr>
            <w:r w:rsidRPr="001D2DEC">
              <w:rPr>
                <w:sz w:val="24"/>
                <w:szCs w:val="24"/>
              </w:rPr>
              <w:t xml:space="preserve">Кількість підтриманих проектів громадських організацій, спрямованих на забезпечення рівних прав та можливостей жінок і </w:t>
            </w:r>
            <w:r>
              <w:rPr>
                <w:sz w:val="24"/>
                <w:szCs w:val="24"/>
              </w:rPr>
              <w:t>чоловіків, од.</w:t>
            </w:r>
          </w:p>
          <w:p w:rsidR="002534F7" w:rsidRPr="001D2DEC" w:rsidRDefault="002534F7" w:rsidP="00706AA3">
            <w:pPr>
              <w:pStyle w:val="TableParagraph"/>
              <w:ind w:left="223" w:right="93"/>
              <w:rPr>
                <w:sz w:val="24"/>
                <w:szCs w:val="24"/>
                <w:lang w:val="ru-RU"/>
              </w:rPr>
            </w:pPr>
          </w:p>
          <w:p w:rsidR="002534F7" w:rsidRPr="00174BF9" w:rsidRDefault="002534F7" w:rsidP="00706AA3">
            <w:pPr>
              <w:pStyle w:val="TableParagraph"/>
              <w:tabs>
                <w:tab w:val="left" w:pos="992"/>
              </w:tabs>
              <w:ind w:left="223"/>
              <w:rPr>
                <w:sz w:val="24"/>
                <w:szCs w:val="24"/>
                <w:lang w:val="ru-RU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tabs>
                <w:tab w:val="left" w:pos="2789"/>
              </w:tabs>
              <w:ind w:left="284" w:right="35"/>
              <w:rPr>
                <w:b/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1.4.7.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Запобігання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протидія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домашньому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насильству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насильству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ознакою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статі</w:t>
            </w:r>
            <w:proofErr w:type="spellEnd"/>
          </w:p>
        </w:tc>
        <w:tc>
          <w:tcPr>
            <w:tcW w:w="3685" w:type="dxa"/>
          </w:tcPr>
          <w:p w:rsidR="002534F7" w:rsidRPr="00C07BC8" w:rsidRDefault="002534F7" w:rsidP="00706AA3">
            <w:pPr>
              <w:pStyle w:val="TableParagraph"/>
              <w:tabs>
                <w:tab w:val="num" w:pos="344"/>
              </w:tabs>
              <w:ind w:left="284"/>
              <w:rPr>
                <w:sz w:val="24"/>
                <w:szCs w:val="24"/>
              </w:rPr>
            </w:pPr>
            <w:r w:rsidRPr="00C07BC8">
              <w:rPr>
                <w:sz w:val="24"/>
                <w:szCs w:val="24"/>
              </w:rPr>
              <w:t>Кількість створених спеціалізованих служб підтримки осіб, постраждалих ві</w:t>
            </w:r>
            <w:r>
              <w:rPr>
                <w:sz w:val="24"/>
                <w:szCs w:val="24"/>
              </w:rPr>
              <w:t>д домашнього насильства, од.</w:t>
            </w:r>
          </w:p>
          <w:p w:rsidR="002534F7" w:rsidRPr="00C07BC8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  <w:p w:rsidR="002534F7" w:rsidRPr="00C07BC8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C07BC8">
              <w:rPr>
                <w:sz w:val="24"/>
                <w:szCs w:val="24"/>
              </w:rPr>
              <w:t>Чисельність осіб, які отримали допомогу в спеціалізованих службах підтримки осіб, які постраждали від домашнього насильства або насильства за ознакою статі, осіб</w:t>
            </w:r>
          </w:p>
          <w:p w:rsidR="002534F7" w:rsidRPr="00174BF9" w:rsidRDefault="002534F7" w:rsidP="00706AA3">
            <w:pPr>
              <w:pStyle w:val="TableParagraph"/>
              <w:tabs>
                <w:tab w:val="left" w:pos="2789"/>
              </w:tabs>
              <w:ind w:left="284" w:right="35"/>
              <w:rPr>
                <w:sz w:val="24"/>
                <w:szCs w:val="24"/>
                <w:lang w:val="ru-RU"/>
              </w:rPr>
            </w:pPr>
          </w:p>
        </w:tc>
      </w:tr>
      <w:tr w:rsidR="002534F7" w:rsidRPr="00370C4B" w:rsidTr="002534F7">
        <w:trPr>
          <w:trHeight w:val="414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1.4.8.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розвиток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спортивної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 xml:space="preserve"> Кількість збудованих, </w:t>
            </w:r>
            <w:proofErr w:type="spellStart"/>
            <w:r w:rsidRPr="00174BF9">
              <w:rPr>
                <w:sz w:val="24"/>
                <w:szCs w:val="24"/>
              </w:rPr>
              <w:t>реконтруйованих</w:t>
            </w:r>
            <w:proofErr w:type="spellEnd"/>
            <w:r w:rsidRPr="00174BF9">
              <w:rPr>
                <w:sz w:val="24"/>
                <w:szCs w:val="24"/>
              </w:rPr>
              <w:t xml:space="preserve"> (модернізованих) потужностей для заняття фізичною культурою і спортом, 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2534F7" w:rsidRPr="005B630F" w:rsidTr="002534F7">
        <w:trPr>
          <w:trHeight w:val="830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tabs>
                <w:tab w:val="left" w:pos="2139"/>
                <w:tab w:val="left" w:pos="2435"/>
                <w:tab w:val="left" w:pos="3122"/>
              </w:tabs>
              <w:ind w:left="284" w:right="72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1.4.9. Надання пільгового довготермінового кредитування, державної підтримки для молоді, учасників антитерористичної операції, внутрішньо переміщених осіб та інших категорій громадян, що потребують поліпшення житлових умов</w:t>
            </w:r>
          </w:p>
        </w:tc>
        <w:tc>
          <w:tcPr>
            <w:tcW w:w="3685" w:type="dxa"/>
          </w:tcPr>
          <w:p w:rsidR="002534F7" w:rsidRDefault="002534F7" w:rsidP="00706AA3">
            <w:pPr>
              <w:pStyle w:val="TableParagraph"/>
              <w:ind w:left="223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наданих кредитів на будівництво (придбання) доступного житла та забезпечення молоді житлом, тис. грн.</w:t>
            </w:r>
          </w:p>
          <w:p w:rsidR="002534F7" w:rsidRDefault="002534F7" w:rsidP="00706AA3">
            <w:pPr>
              <w:pStyle w:val="TableParagraph"/>
              <w:ind w:left="223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Збудоване (придбане) молодіжне житло, тис.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. м.</w:t>
            </w:r>
          </w:p>
          <w:p w:rsidR="002534F7" w:rsidRPr="00174BF9" w:rsidRDefault="002534F7" w:rsidP="00706AA3">
            <w:pPr>
              <w:pStyle w:val="TableParagraph"/>
              <w:ind w:left="223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наданих кредитів на будівництво (придбання) житла учасникам</w:t>
            </w:r>
            <w:r w:rsidRPr="00174BF9">
              <w:rPr>
                <w:sz w:val="24"/>
                <w:szCs w:val="24"/>
              </w:rPr>
              <w:t xml:space="preserve"> антитерористичної </w:t>
            </w:r>
            <w:r>
              <w:rPr>
                <w:sz w:val="24"/>
                <w:szCs w:val="24"/>
              </w:rPr>
              <w:t>операції, внутрішньо переміщеним осам та іншим категоріям</w:t>
            </w:r>
            <w:r w:rsidRPr="00174BF9">
              <w:rPr>
                <w:sz w:val="24"/>
                <w:szCs w:val="24"/>
              </w:rPr>
              <w:t xml:space="preserve"> громадян, що потребують поліпшення житлових умов</w:t>
            </w:r>
            <w:r>
              <w:rPr>
                <w:sz w:val="24"/>
                <w:szCs w:val="24"/>
              </w:rPr>
              <w:t xml:space="preserve">, тис. грн.  </w:t>
            </w:r>
          </w:p>
          <w:p w:rsidR="002534F7" w:rsidRPr="00174BF9" w:rsidRDefault="002534F7" w:rsidP="00706AA3">
            <w:pPr>
              <w:pStyle w:val="TableParagraph"/>
              <w:ind w:left="223" w:right="72"/>
              <w:rPr>
                <w:sz w:val="24"/>
                <w:szCs w:val="24"/>
              </w:rPr>
            </w:pPr>
          </w:p>
        </w:tc>
      </w:tr>
      <w:tr w:rsidR="002534F7" w:rsidRPr="00370C4B" w:rsidTr="002534F7">
        <w:trPr>
          <w:trHeight w:val="559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>1.5</w:t>
            </w:r>
          </w:p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b w:val="0"/>
                <w:sz w:val="24"/>
                <w:szCs w:val="24"/>
                <w:lang w:val="ru-RU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Забезпечення рівного доступу та підвищення якості медичних послуг</w:t>
            </w: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1.5.1.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Підвищення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доступності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якості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медичної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Частка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пройшли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щорічне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профілактичне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обстеження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%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Відсоток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оснащення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діагностичним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обладнанням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ПМД до табеля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оснащення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%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виписаних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рецептів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згідно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Урядової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r w:rsidRPr="00A97C38">
              <w:rPr>
                <w:sz w:val="24"/>
                <w:szCs w:val="24"/>
              </w:rPr>
              <w:t>„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Доступні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ліки</w:t>
            </w:r>
            <w:proofErr w:type="spellEnd"/>
            <w:r w:rsidRPr="00A97C3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”</w:t>
            </w:r>
            <w:r w:rsidRPr="00174BF9">
              <w:rPr>
                <w:sz w:val="24"/>
                <w:szCs w:val="24"/>
                <w:lang w:val="ru-RU"/>
              </w:rPr>
              <w:t>, од.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Відсоток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відпущених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рецептів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виписаних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рецептів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згідно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Урядової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r w:rsidRPr="00A97C38">
              <w:rPr>
                <w:sz w:val="24"/>
                <w:szCs w:val="24"/>
              </w:rPr>
              <w:t>„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Доступні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ліки</w:t>
            </w:r>
            <w:proofErr w:type="spellEnd"/>
            <w:r w:rsidRPr="00A97C3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”</w:t>
            </w:r>
            <w:r w:rsidRPr="00174BF9">
              <w:rPr>
                <w:sz w:val="24"/>
                <w:szCs w:val="24"/>
                <w:lang w:val="ru-RU"/>
              </w:rPr>
              <w:t xml:space="preserve"> 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Видатки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охорону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здоров</w:t>
            </w:r>
            <w:r w:rsidRPr="00F26153">
              <w:rPr>
                <w:sz w:val="24"/>
                <w:szCs w:val="24"/>
                <w:lang w:val="ru-RU"/>
              </w:rPr>
              <w:t>’</w:t>
            </w:r>
            <w:r w:rsidRPr="00174BF9">
              <w:rPr>
                <w:sz w:val="24"/>
                <w:szCs w:val="24"/>
                <w:lang w:val="ru-RU"/>
              </w:rPr>
              <w:t>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душу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тис.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4BF9">
              <w:rPr>
                <w:sz w:val="24"/>
                <w:szCs w:val="24"/>
                <w:lang w:val="ru-RU"/>
              </w:rPr>
              <w:t>грн.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</w:p>
        </w:tc>
      </w:tr>
      <w:tr w:rsidR="002534F7" w:rsidRPr="00370C4B" w:rsidTr="002534F7">
        <w:trPr>
          <w:trHeight w:val="697"/>
          <w:jc w:val="center"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2534F7" w:rsidRPr="00174BF9" w:rsidRDefault="002534F7" w:rsidP="00706AA3">
            <w:pPr>
              <w:ind w:left="284"/>
              <w:rPr>
                <w:b/>
                <w:sz w:val="24"/>
                <w:szCs w:val="24"/>
              </w:rPr>
            </w:pPr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1.5.2. </w:t>
            </w:r>
            <w:proofErr w:type="spellStart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Охорона</w:t>
            </w:r>
            <w:proofErr w:type="spellEnd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материнства та </w:t>
            </w:r>
            <w:proofErr w:type="spellStart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дитинства</w:t>
            </w:r>
            <w:proofErr w:type="spellEnd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, </w:t>
            </w:r>
            <w:proofErr w:type="spellStart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поширення</w:t>
            </w:r>
            <w:proofErr w:type="spellEnd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знань</w:t>
            </w:r>
            <w:proofErr w:type="spellEnd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та практик </w:t>
            </w:r>
            <w:proofErr w:type="spellStart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щодо</w:t>
            </w:r>
            <w:proofErr w:type="spellEnd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збереження</w:t>
            </w:r>
            <w:proofErr w:type="spellEnd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репродуктивного </w:t>
            </w:r>
            <w:proofErr w:type="spellStart"/>
            <w:r w:rsidRPr="00174B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здоров'я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534F7" w:rsidRPr="003B693B" w:rsidRDefault="002534F7" w:rsidP="00706AA3">
            <w:pPr>
              <w:pStyle w:val="TableParagraph"/>
              <w:tabs>
                <w:tab w:val="left" w:pos="284"/>
              </w:tabs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3B693B">
              <w:rPr>
                <w:sz w:val="24"/>
                <w:szCs w:val="24"/>
                <w:lang w:val="ru-RU"/>
              </w:rPr>
              <w:t>Забезпеченість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сімейними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лікарями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лікарів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на 10000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>)</w:t>
            </w:r>
          </w:p>
          <w:p w:rsidR="002534F7" w:rsidRPr="00174BF9" w:rsidRDefault="002534F7" w:rsidP="00706AA3">
            <w:pPr>
              <w:pStyle w:val="TableParagraph"/>
              <w:tabs>
                <w:tab w:val="left" w:pos="284"/>
              </w:tabs>
              <w:ind w:left="284"/>
              <w:rPr>
                <w:sz w:val="24"/>
                <w:szCs w:val="24"/>
              </w:rPr>
            </w:pPr>
            <w:proofErr w:type="spellStart"/>
            <w:r w:rsidRPr="003B693B">
              <w:rPr>
                <w:sz w:val="24"/>
                <w:szCs w:val="24"/>
                <w:lang w:val="ru-RU"/>
              </w:rPr>
              <w:t>Будівництво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нового перинатального центру для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спеціалізованою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перинатальною,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акушерсько-гінекологічною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неонатологічною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педіатричною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медичною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93B">
              <w:rPr>
                <w:sz w:val="24"/>
                <w:szCs w:val="24"/>
                <w:lang w:val="ru-RU"/>
              </w:rPr>
              <w:t>допомогою</w:t>
            </w:r>
            <w:proofErr w:type="spellEnd"/>
            <w:r w:rsidRPr="003B693B">
              <w:rPr>
                <w:sz w:val="24"/>
                <w:szCs w:val="24"/>
                <w:lang w:val="ru-RU"/>
              </w:rPr>
              <w:t>, од.</w:t>
            </w: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lastRenderedPageBreak/>
              <w:t>1.6.</w:t>
            </w:r>
          </w:p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  <w:p w:rsidR="002534F7" w:rsidRPr="00174BF9" w:rsidRDefault="002534F7" w:rsidP="00706AA3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Гармонійний розвиток національних меншин</w:t>
            </w:r>
          </w:p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F22C62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  <w:lang w:val="ru-RU"/>
              </w:rPr>
            </w:pPr>
            <w:r w:rsidRPr="00F22C62">
              <w:rPr>
                <w:sz w:val="24"/>
                <w:szCs w:val="24"/>
                <w:lang w:val="ru-RU"/>
              </w:rPr>
              <w:t xml:space="preserve">1.6.1. </w:t>
            </w:r>
            <w:proofErr w:type="spellStart"/>
            <w:r w:rsidRPr="00F22C62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F22C6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доступу </w:t>
            </w:r>
            <w:proofErr w:type="spellStart"/>
            <w:r>
              <w:rPr>
                <w:sz w:val="24"/>
                <w:szCs w:val="24"/>
                <w:lang w:val="ru-RU"/>
              </w:rPr>
              <w:t>національних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меншин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регіональної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політики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сфері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прав </w:t>
            </w:r>
            <w:proofErr w:type="spellStart"/>
            <w:r>
              <w:rPr>
                <w:sz w:val="24"/>
                <w:szCs w:val="24"/>
                <w:lang w:val="ru-RU"/>
              </w:rPr>
              <w:t>національних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меншин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BD6DD2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BD6DD2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BD6DD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заходів</w:t>
            </w:r>
            <w:proofErr w:type="spellEnd"/>
            <w:r>
              <w:rPr>
                <w:sz w:val="24"/>
                <w:szCs w:val="24"/>
                <w:lang w:val="ru-RU"/>
              </w:rPr>
              <w:t>, од.</w:t>
            </w:r>
          </w:p>
        </w:tc>
      </w:tr>
      <w:tr w:rsidR="002534F7" w:rsidRPr="00370C4B" w:rsidTr="002534F7">
        <w:trPr>
          <w:trHeight w:val="986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tabs>
                <w:tab w:val="left" w:pos="284"/>
              </w:tabs>
              <w:ind w:left="284"/>
              <w:rPr>
                <w:b/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1.6.2.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Підтримка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національно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культурних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товариств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етнокультурних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надбань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задоволення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потреб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національних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спільнот</w:t>
            </w:r>
            <w:proofErr w:type="spellEnd"/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tabs>
                <w:tab w:val="left" w:pos="284"/>
              </w:tabs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од</w:t>
            </w:r>
          </w:p>
        </w:tc>
      </w:tr>
      <w:tr w:rsidR="002534F7" w:rsidRPr="00370C4B" w:rsidTr="002534F7">
        <w:trPr>
          <w:trHeight w:val="699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>1.7.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1"/>
              <w:tabs>
                <w:tab w:val="left" w:pos="1324"/>
              </w:tabs>
              <w:ind w:right="126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>
              <w:rPr>
                <w:b w:val="0"/>
                <w:sz w:val="24"/>
                <w:szCs w:val="24"/>
                <w:lang w:val="uk-UA" w:eastAsia="en-US"/>
              </w:rPr>
              <w:t>Зміцнення громадянськог</w:t>
            </w: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о суспільства, соціальної сфери та соціальної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включеності</w:t>
            </w:r>
            <w:proofErr w:type="spellEnd"/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1.7.1.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Посилення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інституційної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спроможності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організацій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громадянського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суспільства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C07BC8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C07BC8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рад,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діють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при органах </w:t>
            </w:r>
            <w:proofErr w:type="spellStart"/>
            <w:r>
              <w:rPr>
                <w:sz w:val="24"/>
                <w:szCs w:val="24"/>
                <w:lang w:val="ru-RU"/>
              </w:rPr>
              <w:t>влади</w:t>
            </w:r>
            <w:proofErr w:type="spellEnd"/>
            <w:r>
              <w:rPr>
                <w:sz w:val="24"/>
                <w:szCs w:val="24"/>
                <w:lang w:val="ru-RU"/>
              </w:rPr>
              <w:t>, од.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інструментів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підтримки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од.</w:t>
            </w:r>
          </w:p>
          <w:p w:rsidR="002534F7" w:rsidRPr="00C07BC8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C07BC8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соціально-орієнтовних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проектів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реалізованих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спільно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інститутами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гро</w:t>
            </w:r>
            <w:r>
              <w:rPr>
                <w:sz w:val="24"/>
                <w:szCs w:val="24"/>
                <w:lang w:val="ru-RU"/>
              </w:rPr>
              <w:t>мадянського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суспільства</w:t>
            </w:r>
            <w:proofErr w:type="spellEnd"/>
            <w:r>
              <w:rPr>
                <w:sz w:val="24"/>
                <w:szCs w:val="24"/>
                <w:lang w:val="ru-RU"/>
              </w:rPr>
              <w:t>, од.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1.7.2.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Підвищення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рівня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правової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політичної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культури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жителів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од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1.7.3.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Підтримка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ініціатив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молоді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молодіжних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організацій</w:t>
            </w:r>
            <w:proofErr w:type="spellEnd"/>
          </w:p>
        </w:tc>
        <w:tc>
          <w:tcPr>
            <w:tcW w:w="3685" w:type="dxa"/>
          </w:tcPr>
          <w:p w:rsidR="002534F7" w:rsidRPr="00C07BC8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C07BC8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реалізованих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молодіжних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проектів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заходів</w:t>
            </w:r>
            <w:proofErr w:type="spellEnd"/>
            <w:r>
              <w:rPr>
                <w:sz w:val="24"/>
                <w:szCs w:val="24"/>
                <w:lang w:val="ru-RU"/>
              </w:rPr>
              <w:t>, од.</w:t>
            </w:r>
          </w:p>
          <w:p w:rsidR="002534F7" w:rsidRPr="00C07BC8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C07BC8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молодіжного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>, о</w:t>
            </w:r>
            <w:r>
              <w:rPr>
                <w:sz w:val="24"/>
                <w:szCs w:val="24"/>
                <w:lang w:val="ru-RU"/>
              </w:rPr>
              <w:t>д.</w:t>
            </w:r>
          </w:p>
          <w:p w:rsidR="002534F7" w:rsidRPr="00C07BC8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C07BC8">
              <w:rPr>
                <w:sz w:val="24"/>
                <w:szCs w:val="24"/>
                <w:lang w:val="ru-RU"/>
              </w:rPr>
              <w:t>Обсяг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бюджетного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молодіжних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BC8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C07BC8">
              <w:rPr>
                <w:sz w:val="24"/>
                <w:szCs w:val="24"/>
                <w:lang w:val="ru-RU"/>
              </w:rPr>
              <w:t>, тис. грн.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10201" w:type="dxa"/>
            <w:gridSpan w:val="4"/>
          </w:tcPr>
          <w:p w:rsidR="002534F7" w:rsidRPr="00174BF9" w:rsidRDefault="002534F7" w:rsidP="002534F7">
            <w:pPr>
              <w:pStyle w:val="TableParagraph"/>
              <w:numPr>
                <w:ilvl w:val="0"/>
                <w:numId w:val="3"/>
              </w:numPr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174BF9">
              <w:rPr>
                <w:b/>
                <w:i/>
                <w:sz w:val="24"/>
                <w:szCs w:val="24"/>
              </w:rPr>
              <w:t xml:space="preserve">Прискорення досягнення конкурентоспроможності та </w:t>
            </w:r>
            <w:proofErr w:type="spellStart"/>
            <w:r w:rsidRPr="00174BF9">
              <w:rPr>
                <w:b/>
                <w:i/>
                <w:sz w:val="24"/>
                <w:szCs w:val="24"/>
              </w:rPr>
              <w:t>інноваційності</w:t>
            </w:r>
            <w:proofErr w:type="spellEnd"/>
            <w:r w:rsidRPr="00174BF9">
              <w:rPr>
                <w:b/>
                <w:i/>
                <w:sz w:val="24"/>
                <w:szCs w:val="24"/>
              </w:rPr>
              <w:t xml:space="preserve"> регіональної економіки</w:t>
            </w:r>
          </w:p>
        </w:tc>
      </w:tr>
      <w:tr w:rsidR="002534F7" w:rsidRPr="006C6141" w:rsidTr="002534F7">
        <w:trPr>
          <w:trHeight w:val="563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both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Розвиток малого і середнього підприємництва</w:t>
            </w: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>2.1.1. Покращення регіонального бізнес-середовища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Відсоток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підприємств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одержали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прибуток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%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Сукупний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фінансовий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результат </w:t>
            </w:r>
            <w:proofErr w:type="spellStart"/>
            <w:proofErr w:type="gramStart"/>
            <w:r w:rsidRPr="00174BF9">
              <w:rPr>
                <w:sz w:val="24"/>
                <w:szCs w:val="24"/>
                <w:lang w:val="ru-RU"/>
              </w:rPr>
              <w:t>підприємств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 (</w:t>
            </w:r>
            <w:proofErr w:type="spellStart"/>
            <w:proofErr w:type="gramEnd"/>
            <w:r w:rsidRPr="00174BF9">
              <w:rPr>
                <w:sz w:val="24"/>
                <w:szCs w:val="24"/>
                <w:lang w:val="ru-RU"/>
              </w:rPr>
              <w:t>скоригований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індекс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інфляції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млн.грн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.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ПДФО в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розрахунку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одного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податків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застраховані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особи та ФОП) тис.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грн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душу нас.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lastRenderedPageBreak/>
              <w:t>Кількість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ФОП на 10000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одиниць</w:t>
            </w:r>
            <w:proofErr w:type="spellEnd"/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Індекс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ділової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активності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малого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середнього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підприємництва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%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суб’єктів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малого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середнього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підприємництва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%</w:t>
            </w: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both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left="284" w:right="547"/>
              <w:jc w:val="left"/>
              <w:rPr>
                <w:sz w:val="24"/>
                <w:szCs w:val="24"/>
                <w:lang w:val="ru-RU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2.1.2. Сприяння відкриттю нових ринків збуту товарів і послуг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1"/>
              <w:ind w:left="223"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Кількість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суб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>’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єктів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малого та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середнього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підприємництва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області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які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беруть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участь у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державних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закупівлях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>, од</w:t>
            </w:r>
            <w:r>
              <w:rPr>
                <w:b w:val="0"/>
                <w:sz w:val="24"/>
                <w:szCs w:val="24"/>
                <w:lang w:val="ru-RU" w:eastAsia="en-US"/>
              </w:rPr>
              <w:t>.</w:t>
            </w:r>
          </w:p>
          <w:p w:rsidR="002534F7" w:rsidRPr="00174BF9" w:rsidRDefault="002534F7" w:rsidP="00706AA3">
            <w:pPr>
              <w:pStyle w:val="1"/>
              <w:ind w:left="223"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Частка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експортерів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серед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суб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>’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єктів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малого та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середнього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підприємництва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val="ru-RU" w:eastAsia="en-US"/>
              </w:rPr>
              <w:t>%</w:t>
            </w:r>
          </w:p>
        </w:tc>
      </w:tr>
      <w:tr w:rsidR="002534F7" w:rsidRPr="008B5F9C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both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tabs>
                <w:tab w:val="left" w:pos="422"/>
              </w:tabs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2.1.3. Посилення інституційної спроможності бізнес-асоціацій та підтримка діалогу бізнесу і влади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1"/>
              <w:ind w:left="223"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Кількість створених </w:t>
            </w:r>
            <w:r>
              <w:rPr>
                <w:b w:val="0"/>
                <w:sz w:val="24"/>
                <w:szCs w:val="24"/>
                <w:lang w:val="uk-UA" w:eastAsia="en-US"/>
              </w:rPr>
              <w:t>центрів підтримки підприємництва</w:t>
            </w: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 при ОТГ, од.</w:t>
            </w:r>
          </w:p>
          <w:p w:rsidR="002534F7" w:rsidRPr="00174BF9" w:rsidRDefault="002534F7" w:rsidP="00706AA3">
            <w:pPr>
              <w:pStyle w:val="1"/>
              <w:ind w:left="223" w:right="547"/>
              <w:jc w:val="left"/>
              <w:rPr>
                <w:sz w:val="24"/>
                <w:szCs w:val="24"/>
                <w:lang w:val="uk-UA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Кількість створених ЦНАП-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ів</w:t>
            </w:r>
            <w:proofErr w:type="spellEnd"/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 в ОТГ, од.</w:t>
            </w:r>
          </w:p>
        </w:tc>
      </w:tr>
      <w:tr w:rsidR="002534F7" w:rsidRPr="00DA1714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both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left="284" w:right="547"/>
              <w:jc w:val="left"/>
              <w:rPr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2.1.4. Підтримка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стартапів</w:t>
            </w:r>
            <w:proofErr w:type="spellEnd"/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 та інновацій в секторі МСП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1"/>
              <w:ind w:left="223"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Кількість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суб,єктів</w:t>
            </w:r>
            <w:proofErr w:type="spellEnd"/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 господарської діяльності, яким надано державну фінансову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допомогу,од</w:t>
            </w:r>
            <w:proofErr w:type="spellEnd"/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both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left="284" w:right="547"/>
              <w:jc w:val="left"/>
              <w:rPr>
                <w:sz w:val="24"/>
                <w:szCs w:val="24"/>
                <w:lang w:val="ru-RU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2.1.5. Розвиток інфраструктури підтримки МСП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left="284" w:right="547"/>
              <w:jc w:val="left"/>
              <w:rPr>
                <w:b w:val="0"/>
                <w:sz w:val="24"/>
                <w:szCs w:val="24"/>
                <w:lang w:val="ru-RU" w:eastAsia="en-US"/>
              </w:rPr>
            </w:pPr>
            <w:r>
              <w:rPr>
                <w:b w:val="0"/>
                <w:sz w:val="24"/>
                <w:szCs w:val="24"/>
                <w:lang w:val="ru-RU" w:eastAsia="en-US"/>
              </w:rPr>
              <w:t>С</w:t>
            </w:r>
            <w:proofErr w:type="spellStart"/>
            <w:r>
              <w:rPr>
                <w:b w:val="0"/>
                <w:sz w:val="24"/>
                <w:szCs w:val="24"/>
                <w:lang w:val="uk-UA" w:eastAsia="en-US"/>
              </w:rPr>
              <w:t>истема</w:t>
            </w:r>
            <w:proofErr w:type="spellEnd"/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 </w:t>
            </w:r>
            <w:proofErr w:type="gramStart"/>
            <w:r w:rsidRPr="00174BF9">
              <w:rPr>
                <w:b w:val="0"/>
                <w:sz w:val="24"/>
                <w:szCs w:val="24"/>
                <w:lang w:val="uk-UA" w:eastAsia="en-US"/>
              </w:rPr>
              <w:t>он-лайн</w:t>
            </w:r>
            <w:proofErr w:type="gramEnd"/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 консультацій для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суб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>’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єктів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малого та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середнього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підприємництва</w:t>
            </w:r>
            <w:proofErr w:type="spellEnd"/>
            <w:r>
              <w:rPr>
                <w:b w:val="0"/>
                <w:sz w:val="24"/>
                <w:szCs w:val="24"/>
                <w:lang w:val="ru-RU" w:eastAsia="en-US"/>
              </w:rPr>
              <w:t>, од.</w:t>
            </w:r>
          </w:p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left="284"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Кількість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одиниць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інфраструктури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підтримки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підприємництва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>, од.</w:t>
            </w:r>
          </w:p>
        </w:tc>
      </w:tr>
      <w:tr w:rsidR="002534F7" w:rsidRPr="00370C4B" w:rsidTr="002534F7">
        <w:trPr>
          <w:trHeight w:val="556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both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>2.1.6. Розвиток бізнес освіти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 Створення в області школи </w:t>
            </w:r>
            <w:proofErr w:type="spellStart"/>
            <w:r w:rsidRPr="00174BF9">
              <w:rPr>
                <w:sz w:val="24"/>
                <w:szCs w:val="24"/>
              </w:rPr>
              <w:t>бізнесу,од</w:t>
            </w:r>
            <w:proofErr w:type="spellEnd"/>
            <w:r w:rsidRPr="00174BF9">
              <w:rPr>
                <w:sz w:val="24"/>
                <w:szCs w:val="24"/>
              </w:rPr>
              <w:t>.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  Кількість навчальних тренінгів, інформаційних заходів з питань ведення бізнесу, од.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 Кількість суб’єктів малого та середнього підприємництва, які прийняли участь у навчальних заходах, од.</w:t>
            </w: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>
              <w:rPr>
                <w:b w:val="0"/>
                <w:sz w:val="24"/>
                <w:szCs w:val="24"/>
                <w:lang w:val="uk-UA" w:eastAsia="en-US"/>
              </w:rPr>
              <w:t>Розвиток туристичної та оздоров</w:t>
            </w:r>
            <w:r w:rsidRPr="00174BF9">
              <w:rPr>
                <w:b w:val="0"/>
                <w:sz w:val="24"/>
                <w:szCs w:val="24"/>
                <w:lang w:val="uk-UA" w:eastAsia="en-US"/>
              </w:rPr>
              <w:t>чої сфери</w:t>
            </w:r>
          </w:p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>2.2.1. Розширення спектру туристичних послуг та курортних територій</w:t>
            </w:r>
          </w:p>
        </w:tc>
        <w:tc>
          <w:tcPr>
            <w:tcW w:w="3685" w:type="dxa"/>
          </w:tcPr>
          <w:p w:rsidR="002534F7" w:rsidRPr="00992705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нових (розширення діючих) туристично-лікувальних та оздоровчих закладів, од.</w:t>
            </w: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>2.2.2. Розвиток туристичної і сервісної інфраструктури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Кількість туристів, осіб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Кількість проектів реалізованих у туристичній сфері, о</w:t>
            </w:r>
            <w:r>
              <w:rPr>
                <w:sz w:val="24"/>
                <w:szCs w:val="24"/>
              </w:rPr>
              <w:t>д.</w:t>
            </w: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 xml:space="preserve">2.2.3. Розвиток регіональної мережі туристичних </w:t>
            </w:r>
            <w:proofErr w:type="spellStart"/>
            <w:r w:rsidRPr="00174BF9">
              <w:rPr>
                <w:sz w:val="24"/>
                <w:szCs w:val="24"/>
              </w:rPr>
              <w:t>дестинацій</w:t>
            </w:r>
            <w:proofErr w:type="spellEnd"/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Кількість нових туристичних маршрутів, од. (протяжність - км.)</w:t>
            </w:r>
          </w:p>
        </w:tc>
      </w:tr>
      <w:tr w:rsidR="002534F7" w:rsidRPr="00370C4B" w:rsidTr="002534F7">
        <w:trPr>
          <w:trHeight w:val="389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2.2.4. Маркетинг туристичних послуг і територій</w:t>
            </w:r>
          </w:p>
        </w:tc>
        <w:tc>
          <w:tcPr>
            <w:tcW w:w="3685" w:type="dxa"/>
          </w:tcPr>
          <w:p w:rsidR="002534F7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видів друкованої </w:t>
            </w:r>
            <w:proofErr w:type="spellStart"/>
            <w:r>
              <w:rPr>
                <w:sz w:val="24"/>
                <w:szCs w:val="24"/>
              </w:rPr>
              <w:t>промоційної</w:t>
            </w:r>
            <w:proofErr w:type="spellEnd"/>
            <w:r>
              <w:rPr>
                <w:sz w:val="24"/>
                <w:szCs w:val="24"/>
              </w:rPr>
              <w:t xml:space="preserve"> продукції, од.</w:t>
            </w:r>
          </w:p>
          <w:p w:rsidR="002534F7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туристичних інформаційних центрів, од.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Кількість проведених інформаційних та прес-турів, од.</w:t>
            </w:r>
          </w:p>
        </w:tc>
      </w:tr>
      <w:tr w:rsidR="002534F7" w:rsidRPr="00571EA9" w:rsidTr="002534F7">
        <w:trPr>
          <w:cantSplit/>
          <w:trHeight w:val="563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lastRenderedPageBreak/>
              <w:t>2.3</w:t>
            </w:r>
          </w:p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982"/>
                <w:tab w:val="left" w:pos="4502"/>
              </w:tabs>
              <w:ind w:right="176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Підвищення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конкурентоспро</w:t>
            </w:r>
            <w:proofErr w:type="spellEnd"/>
            <w:r>
              <w:rPr>
                <w:b w:val="0"/>
                <w:sz w:val="24"/>
                <w:szCs w:val="24"/>
                <w:lang w:val="uk-UA" w:eastAsia="en-US"/>
              </w:rPr>
              <w:t>-</w:t>
            </w:r>
            <w:r w:rsidRPr="00174BF9">
              <w:rPr>
                <w:b w:val="0"/>
                <w:sz w:val="24"/>
                <w:szCs w:val="24"/>
                <w:lang w:val="uk-UA" w:eastAsia="en-US"/>
              </w:rPr>
              <w:t>можності ключових секторів регіональної економіки</w:t>
            </w:r>
          </w:p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4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 xml:space="preserve">2.3.1. Розвиток регіональних кластерів 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Кількість створених індустріальних парків (кластерів), од.</w:t>
            </w:r>
          </w:p>
        </w:tc>
      </w:tr>
      <w:tr w:rsidR="002534F7" w:rsidRPr="00571EA9" w:rsidTr="002534F7">
        <w:trPr>
          <w:cantSplit/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left="284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2.3.2. Збільшення доданої вартості сільськогосподарської продукції</w:t>
            </w:r>
          </w:p>
        </w:tc>
        <w:tc>
          <w:tcPr>
            <w:tcW w:w="3685" w:type="dxa"/>
          </w:tcPr>
          <w:p w:rsidR="002534F7" w:rsidRDefault="002534F7" w:rsidP="00706AA3">
            <w:pPr>
              <w:pStyle w:val="1"/>
              <w:tabs>
                <w:tab w:val="clear" w:pos="0"/>
              </w:tabs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>
              <w:rPr>
                <w:b w:val="0"/>
                <w:sz w:val="24"/>
                <w:szCs w:val="24"/>
                <w:lang w:val="uk-UA" w:eastAsia="en-US"/>
              </w:rPr>
              <w:t>Індекс продукції сільського господарства, %</w:t>
            </w:r>
          </w:p>
          <w:p w:rsidR="002534F7" w:rsidRPr="00613510" w:rsidRDefault="002534F7" w:rsidP="00706AA3">
            <w:pPr>
              <w:pStyle w:val="1"/>
              <w:tabs>
                <w:tab w:val="clear" w:pos="0"/>
              </w:tabs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613510">
              <w:rPr>
                <w:b w:val="0"/>
                <w:sz w:val="24"/>
                <w:szCs w:val="24"/>
                <w:lang w:val="uk-UA" w:eastAsia="en-US"/>
              </w:rPr>
              <w:t xml:space="preserve">Індекс реалізованої продукції харчової промисловості, </w:t>
            </w:r>
            <w:r>
              <w:rPr>
                <w:b w:val="0"/>
                <w:sz w:val="24"/>
                <w:szCs w:val="24"/>
                <w:lang w:val="uk-UA" w:eastAsia="en-US"/>
              </w:rPr>
              <w:t>%</w:t>
            </w:r>
          </w:p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</w:p>
        </w:tc>
      </w:tr>
      <w:tr w:rsidR="002534F7" w:rsidRPr="00370C4B" w:rsidTr="002534F7">
        <w:trPr>
          <w:cantSplit/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left="284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2.3.3. Енергозбереження та енергоефективність у виробничій і невиробничій сфері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Вартість проведених на території області робіт з підвищення енергоефективності на 1000 осіб населення, заходів на 1000 осіб населення</w:t>
            </w:r>
          </w:p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Сукупна вартість зекономлених паливно-енергетичних ресурсів за рахунок впровадження енергозберігаючих заходів,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млн.грн</w:t>
            </w:r>
            <w:proofErr w:type="spellEnd"/>
            <w:r w:rsidRPr="00174BF9">
              <w:rPr>
                <w:b w:val="0"/>
                <w:sz w:val="24"/>
                <w:szCs w:val="24"/>
                <w:lang w:val="uk-UA" w:eastAsia="en-US"/>
              </w:rPr>
              <w:t>.</w:t>
            </w:r>
          </w:p>
        </w:tc>
      </w:tr>
      <w:tr w:rsidR="002534F7" w:rsidRPr="005B630F" w:rsidTr="002534F7">
        <w:trPr>
          <w:cantSplit/>
          <w:trHeight w:val="680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</w:rPr>
              <w:t>2.3.4. Розвиток інфраструктури підтримки інновацій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Питома вага підприємств, що впроваджували інновації, </w:t>
            </w:r>
            <w:r>
              <w:rPr>
                <w:b w:val="0"/>
                <w:sz w:val="24"/>
                <w:szCs w:val="24"/>
                <w:lang w:val="uk-UA" w:eastAsia="en-US"/>
              </w:rPr>
              <w:t>%</w:t>
            </w:r>
          </w:p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Кількість інноваційно</w:t>
            </w:r>
            <w:r>
              <w:rPr>
                <w:b w:val="0"/>
                <w:sz w:val="24"/>
                <w:szCs w:val="24"/>
                <w:lang w:val="uk-UA" w:eastAsia="en-US"/>
              </w:rPr>
              <w:t>-</w:t>
            </w: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 активних підприємств, од. </w:t>
            </w:r>
          </w:p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Обсяг реалізованої інноваційної продукції,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тис.грн</w:t>
            </w:r>
            <w:proofErr w:type="spellEnd"/>
            <w:r w:rsidRPr="00174BF9">
              <w:rPr>
                <w:b w:val="0"/>
                <w:sz w:val="24"/>
                <w:szCs w:val="24"/>
                <w:lang w:val="uk-UA" w:eastAsia="en-US"/>
              </w:rPr>
              <w:t>.</w:t>
            </w:r>
          </w:p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>2.4</w:t>
            </w:r>
          </w:p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465"/>
              </w:tabs>
              <w:ind w:right="26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Розвиток мереж транспортного сполучення та просторової інфраструктури</w:t>
            </w:r>
          </w:p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4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left="284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 2.4.1. Будівництво, реконструкція і ремонт внутрішніх доріг автомобільного сполучення і мостів 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Протяжність доріг з твердим покриттям, км.</w:t>
            </w:r>
          </w:p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Частка відремонтованих мостів та мостових переходів від загальної кількості аварійних, </w:t>
            </w:r>
            <w:r>
              <w:rPr>
                <w:b w:val="0"/>
                <w:sz w:val="24"/>
                <w:szCs w:val="24"/>
                <w:lang w:val="uk-UA" w:eastAsia="en-US"/>
              </w:rPr>
              <w:t>%</w:t>
            </w: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4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left="284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 2.4.2. Розвиток транспортно-логістичної прикордонної інфраструктури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Кількість нових сервісних зон, од.</w:t>
            </w:r>
          </w:p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Кількість новостворених КПП, од.</w:t>
            </w:r>
          </w:p>
        </w:tc>
      </w:tr>
      <w:tr w:rsidR="002534F7" w:rsidRPr="005B630F" w:rsidTr="002534F7">
        <w:trPr>
          <w:trHeight w:val="545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4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right w:val="single" w:sz="4" w:space="0" w:color="auto"/>
            </w:tcBorders>
          </w:tcPr>
          <w:p w:rsidR="002534F7" w:rsidRPr="00174BF9" w:rsidRDefault="002534F7" w:rsidP="00706AA3">
            <w:pPr>
              <w:pStyle w:val="1"/>
              <w:ind w:left="284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2.4.3.  Розвиток телекомунікаційної інфраструктури інноваційної економіки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Частка покриття широкосмугового доступу до мережі інтернет, </w:t>
            </w:r>
            <w:r>
              <w:rPr>
                <w:b w:val="0"/>
                <w:sz w:val="24"/>
                <w:szCs w:val="24"/>
                <w:lang w:val="uk-UA" w:eastAsia="en-US"/>
              </w:rPr>
              <w:t>%</w:t>
            </w:r>
          </w:p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Частка покриття цифровим сигналом стандарту DVB-T2,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відс</w:t>
            </w:r>
            <w:proofErr w:type="spellEnd"/>
          </w:p>
          <w:p w:rsidR="002534F7" w:rsidRPr="00174BF9" w:rsidRDefault="002534F7" w:rsidP="00706AA3">
            <w:pPr>
              <w:pStyle w:val="1"/>
              <w:ind w:left="223" w:right="544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Прямі іноземні інвестиції в інформаційні технології та телекомунікації,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тис.грн</w:t>
            </w:r>
            <w:proofErr w:type="spellEnd"/>
            <w:r w:rsidRPr="00174BF9">
              <w:rPr>
                <w:b w:val="0"/>
                <w:sz w:val="24"/>
                <w:szCs w:val="24"/>
                <w:lang w:val="uk-UA" w:eastAsia="en-US"/>
              </w:rPr>
              <w:t>.</w:t>
            </w:r>
          </w:p>
        </w:tc>
      </w:tr>
      <w:tr w:rsidR="002534F7" w:rsidRPr="00370C4B" w:rsidTr="002534F7">
        <w:trPr>
          <w:trHeight w:val="563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color w:val="000000"/>
                <w:sz w:val="24"/>
                <w:szCs w:val="24"/>
              </w:rPr>
            </w:pPr>
            <w:r w:rsidRPr="00174BF9">
              <w:rPr>
                <w:color w:val="000000"/>
                <w:sz w:val="24"/>
                <w:szCs w:val="24"/>
              </w:rPr>
              <w:t>2.5</w:t>
            </w:r>
          </w:p>
          <w:p w:rsidR="002534F7" w:rsidRPr="00174BF9" w:rsidRDefault="002534F7" w:rsidP="00706AA3">
            <w:pPr>
              <w:pStyle w:val="TableParagraph"/>
              <w:ind w:left="575" w:right="109" w:hanging="440"/>
              <w:rPr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b w:val="0"/>
                <w:color w:val="00000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color w:val="000000"/>
                <w:sz w:val="24"/>
                <w:szCs w:val="24"/>
                <w:lang w:val="uk-UA" w:eastAsia="en-US"/>
              </w:rPr>
              <w:t xml:space="preserve">Система ефективного </w:t>
            </w:r>
            <w:r w:rsidRPr="00174BF9">
              <w:rPr>
                <w:b w:val="0"/>
                <w:color w:val="000000"/>
                <w:sz w:val="24"/>
                <w:szCs w:val="24"/>
                <w:lang w:val="uk-UA" w:eastAsia="en-US"/>
              </w:rPr>
              <w:lastRenderedPageBreak/>
              <w:t>управління регіональним розвитком</w:t>
            </w:r>
          </w:p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right w:val="single" w:sz="4" w:space="0" w:color="auto"/>
            </w:tcBorders>
          </w:tcPr>
          <w:p w:rsidR="002534F7" w:rsidRPr="00174BF9" w:rsidRDefault="002534F7" w:rsidP="00F37D1F">
            <w:pPr>
              <w:pStyle w:val="TableParagraph"/>
              <w:tabs>
                <w:tab w:val="left" w:pos="2327"/>
                <w:tab w:val="left" w:pos="2547"/>
              </w:tabs>
              <w:ind w:left="284"/>
              <w:rPr>
                <w:sz w:val="24"/>
                <w:szCs w:val="24"/>
              </w:rPr>
            </w:pPr>
            <w:r w:rsidRPr="00174BF9">
              <w:rPr>
                <w:bCs/>
                <w:sz w:val="24"/>
                <w:szCs w:val="24"/>
              </w:rPr>
              <w:lastRenderedPageBreak/>
              <w:t xml:space="preserve">2.5.1. Удосконалення системи управління регіональним </w:t>
            </w:r>
            <w:r w:rsidRPr="00174BF9">
              <w:rPr>
                <w:bCs/>
                <w:sz w:val="24"/>
                <w:szCs w:val="24"/>
              </w:rPr>
              <w:lastRenderedPageBreak/>
              <w:t>розвитком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 w:right="544"/>
              <w:rPr>
                <w:bCs/>
                <w:sz w:val="24"/>
                <w:szCs w:val="24"/>
              </w:rPr>
            </w:pPr>
            <w:r w:rsidRPr="00174BF9">
              <w:rPr>
                <w:bCs/>
                <w:sz w:val="24"/>
                <w:szCs w:val="24"/>
              </w:rPr>
              <w:lastRenderedPageBreak/>
              <w:t>Запро</w:t>
            </w:r>
            <w:r>
              <w:rPr>
                <w:bCs/>
                <w:sz w:val="24"/>
                <w:szCs w:val="24"/>
              </w:rPr>
              <w:t>вадження механізму конкурсу прое</w:t>
            </w:r>
            <w:r w:rsidRPr="00174BF9">
              <w:rPr>
                <w:bCs/>
                <w:sz w:val="24"/>
                <w:szCs w:val="24"/>
              </w:rPr>
              <w:t xml:space="preserve">ктів </w:t>
            </w:r>
            <w:r w:rsidRPr="00174BF9">
              <w:rPr>
                <w:bCs/>
                <w:sz w:val="24"/>
                <w:szCs w:val="24"/>
              </w:rPr>
              <w:lastRenderedPageBreak/>
              <w:t>місцевого розвитку Закарпатської області</w:t>
            </w:r>
          </w:p>
          <w:p w:rsidR="002534F7" w:rsidRPr="00174BF9" w:rsidRDefault="002534F7" w:rsidP="00706AA3">
            <w:pPr>
              <w:pStyle w:val="TableParagraph"/>
              <w:ind w:left="223" w:right="544"/>
              <w:rPr>
                <w:bCs/>
                <w:sz w:val="24"/>
                <w:szCs w:val="24"/>
              </w:rPr>
            </w:pPr>
            <w:r w:rsidRPr="00174BF9">
              <w:rPr>
                <w:bCs/>
                <w:sz w:val="24"/>
                <w:szCs w:val="24"/>
              </w:rPr>
              <w:t xml:space="preserve">Частка публічних послуг, що надаються у режимі он-лайн, </w:t>
            </w:r>
            <w:r>
              <w:rPr>
                <w:bCs/>
                <w:sz w:val="24"/>
                <w:szCs w:val="24"/>
              </w:rPr>
              <w:t>%</w:t>
            </w:r>
          </w:p>
        </w:tc>
      </w:tr>
      <w:tr w:rsidR="002534F7" w:rsidRPr="005B630F" w:rsidTr="002534F7">
        <w:trPr>
          <w:trHeight w:val="1011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F37D1F">
            <w:pPr>
              <w:pStyle w:val="TableParagraph"/>
              <w:tabs>
                <w:tab w:val="left" w:pos="425"/>
              </w:tabs>
              <w:ind w:left="284" w:right="142"/>
              <w:rPr>
                <w:bCs/>
                <w:sz w:val="24"/>
                <w:szCs w:val="24"/>
              </w:rPr>
            </w:pPr>
            <w:r w:rsidRPr="00174BF9">
              <w:rPr>
                <w:bCs/>
                <w:sz w:val="24"/>
                <w:szCs w:val="24"/>
              </w:rPr>
              <w:t>2.5.2. Підвищення кваліфікації посадовців з питань регіонального розвитку</w:t>
            </w:r>
          </w:p>
          <w:p w:rsidR="002534F7" w:rsidRPr="00174BF9" w:rsidRDefault="002534F7" w:rsidP="00F37D1F">
            <w:pPr>
              <w:pStyle w:val="TableParagraph"/>
              <w:tabs>
                <w:tab w:val="left" w:pos="425"/>
              </w:tabs>
              <w:ind w:left="284" w:right="142"/>
              <w:rPr>
                <w:bCs/>
                <w:sz w:val="24"/>
                <w:szCs w:val="24"/>
              </w:rPr>
            </w:pPr>
          </w:p>
          <w:p w:rsidR="002534F7" w:rsidRPr="00174BF9" w:rsidRDefault="002534F7" w:rsidP="00706AA3">
            <w:pPr>
              <w:pStyle w:val="TableParagraph"/>
              <w:tabs>
                <w:tab w:val="left" w:pos="425"/>
              </w:tabs>
              <w:ind w:left="284" w:right="229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534F7" w:rsidRPr="00987A6F" w:rsidRDefault="002534F7" w:rsidP="00706AA3">
            <w:pPr>
              <w:pStyle w:val="TableParagraph"/>
              <w:ind w:left="223" w:right="544"/>
              <w:rPr>
                <w:bCs/>
                <w:sz w:val="24"/>
                <w:szCs w:val="24"/>
              </w:rPr>
            </w:pPr>
            <w:r w:rsidRPr="00987A6F">
              <w:rPr>
                <w:bCs/>
                <w:sz w:val="24"/>
                <w:szCs w:val="24"/>
              </w:rPr>
              <w:t>Кількість впроваджених курсів/ тренінгів з питань регіонального розвитку у програмах підвищення кваліфікації посадовців, од.</w:t>
            </w:r>
          </w:p>
          <w:p w:rsidR="002534F7" w:rsidRPr="00174BF9" w:rsidRDefault="002534F7" w:rsidP="00706AA3">
            <w:pPr>
              <w:pStyle w:val="TableParagraph"/>
              <w:ind w:left="223" w:right="544"/>
              <w:rPr>
                <w:bCs/>
                <w:sz w:val="24"/>
                <w:szCs w:val="24"/>
              </w:rPr>
            </w:pPr>
            <w:r w:rsidRPr="00987A6F">
              <w:rPr>
                <w:bCs/>
                <w:sz w:val="24"/>
                <w:szCs w:val="24"/>
              </w:rPr>
              <w:t>Кількість посадовців, що пройшли відповідне навчання, осіб</w:t>
            </w:r>
          </w:p>
        </w:tc>
      </w:tr>
      <w:tr w:rsidR="002534F7" w:rsidRPr="00174BF9" w:rsidTr="002534F7">
        <w:trPr>
          <w:trHeight w:val="498"/>
          <w:jc w:val="center"/>
        </w:trPr>
        <w:tc>
          <w:tcPr>
            <w:tcW w:w="10201" w:type="dxa"/>
            <w:gridSpan w:val="4"/>
          </w:tcPr>
          <w:p w:rsidR="002534F7" w:rsidRPr="00174BF9" w:rsidRDefault="002534F7" w:rsidP="00706AA3">
            <w:pPr>
              <w:pStyle w:val="TableParagraph"/>
              <w:tabs>
                <w:tab w:val="left" w:pos="425"/>
              </w:tabs>
              <w:ind w:left="284"/>
              <w:jc w:val="center"/>
              <w:rPr>
                <w:b/>
                <w:i/>
                <w:sz w:val="24"/>
                <w:szCs w:val="24"/>
              </w:rPr>
            </w:pPr>
            <w:r w:rsidRPr="00174BF9">
              <w:rPr>
                <w:b/>
                <w:i/>
                <w:sz w:val="24"/>
                <w:szCs w:val="24"/>
              </w:rPr>
              <w:t>3. Побудова локальних економік знань та смарт-спеціалізація</w:t>
            </w:r>
          </w:p>
        </w:tc>
      </w:tr>
      <w:tr w:rsidR="002534F7" w:rsidRPr="00174BF9" w:rsidTr="002534F7">
        <w:trPr>
          <w:trHeight w:val="563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3.1.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Сприяння інноваціям у сферах, визначених смарт-спеціалізацією регіону</w:t>
            </w: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3.1.1. Підтримка інноваційних досліджень та технологій у промисловості </w:t>
            </w:r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 </w:t>
            </w:r>
            <w:proofErr w:type="spellStart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основі</w:t>
            </w:r>
            <w:proofErr w:type="spellEnd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використання</w:t>
            </w:r>
            <w:proofErr w:type="spellEnd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ланцюгів</w:t>
            </w:r>
            <w:proofErr w:type="spellEnd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97C38">
              <w:rPr>
                <w:sz w:val="24"/>
                <w:szCs w:val="24"/>
              </w:rPr>
              <w:t>„</w:t>
            </w:r>
            <w:proofErr w:type="spellStart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освіта</w:t>
            </w:r>
            <w:proofErr w:type="spellEnd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– наука – </w:t>
            </w:r>
            <w:proofErr w:type="spellStart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виробництво</w:t>
            </w:r>
            <w:proofErr w:type="spellEnd"/>
            <w:r w:rsidRPr="00A97C3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”</w:t>
            </w:r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та кластерного </w:t>
            </w:r>
            <w:proofErr w:type="spellStart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підходу</w:t>
            </w:r>
            <w:proofErr w:type="spellEnd"/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</w:t>
            </w:r>
            <w:r w:rsidR="001358F2">
              <w:rPr>
                <w:sz w:val="24"/>
                <w:szCs w:val="24"/>
              </w:rPr>
              <w:t>ть проведених досліджень у сферах</w:t>
            </w:r>
            <w:r w:rsidRPr="00174BF9">
              <w:rPr>
                <w:sz w:val="24"/>
                <w:szCs w:val="24"/>
              </w:rPr>
              <w:t xml:space="preserve"> смарт-спеціалізації, од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прое</w:t>
            </w:r>
            <w:r w:rsidRPr="00174BF9">
              <w:rPr>
                <w:sz w:val="24"/>
                <w:szCs w:val="24"/>
              </w:rPr>
              <w:t>ктів</w:t>
            </w:r>
            <w:r>
              <w:rPr>
                <w:sz w:val="24"/>
                <w:szCs w:val="24"/>
              </w:rPr>
              <w:t>,</w:t>
            </w:r>
            <w:r w:rsidRPr="00174BF9">
              <w:rPr>
                <w:sz w:val="24"/>
                <w:szCs w:val="24"/>
              </w:rPr>
              <w:t xml:space="preserve"> реалізованих із залученням бюджетних коштів, од</w:t>
            </w:r>
          </w:p>
        </w:tc>
      </w:tr>
      <w:tr w:rsidR="002534F7" w:rsidRPr="005B630F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3.1.2.</w:t>
            </w:r>
            <w:proofErr w:type="spellStart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Розвиток</w:t>
            </w:r>
            <w:proofErr w:type="spellEnd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регіональної</w:t>
            </w:r>
            <w:proofErr w:type="spellEnd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інноваційної</w:t>
            </w:r>
            <w:proofErr w:type="spellEnd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74BF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інфраструктури</w:t>
            </w:r>
            <w:proofErr w:type="spellEnd"/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Кількість інституцій підтримки інноваційної сфери, од</w:t>
            </w:r>
          </w:p>
        </w:tc>
      </w:tr>
      <w:tr w:rsidR="002534F7" w:rsidRPr="00174BF9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3.1.3. Підтримка створення уні</w:t>
            </w:r>
            <w:r>
              <w:rPr>
                <w:sz w:val="24"/>
                <w:szCs w:val="24"/>
              </w:rPr>
              <w:t>к</w:t>
            </w:r>
            <w:r w:rsidRPr="00174BF9">
              <w:rPr>
                <w:sz w:val="24"/>
                <w:szCs w:val="24"/>
              </w:rPr>
              <w:t>альних інноваційних туристично-рекреаційних продуктів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створених інноваційних туристично-рекреаційних продуктів, од.</w:t>
            </w:r>
          </w:p>
        </w:tc>
      </w:tr>
      <w:tr w:rsidR="002534F7" w:rsidRPr="00174BF9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3.1.4. Поширення інформації та доступу до знань</w:t>
            </w:r>
          </w:p>
          <w:p w:rsidR="007379DC" w:rsidRPr="00174BF9" w:rsidRDefault="007379DC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2534F7" w:rsidRPr="00174BF9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3.1.5. Підтримка ключових передових технологій в регіоні</w:t>
            </w: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Відсоток підприємств, які купують послуги хмарних обчислень, </w:t>
            </w:r>
            <w:r>
              <w:rPr>
                <w:sz w:val="24"/>
                <w:szCs w:val="24"/>
              </w:rPr>
              <w:t>%</w:t>
            </w:r>
          </w:p>
          <w:p w:rsidR="002534F7" w:rsidRPr="00174BF9" w:rsidRDefault="002534F7" w:rsidP="00706A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34F7" w:rsidRPr="00174BF9" w:rsidTr="002534F7">
        <w:trPr>
          <w:trHeight w:val="563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3.2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Створення мережі </w:t>
            </w:r>
            <w:proofErr w:type="spellStart"/>
            <w:r w:rsidRPr="00174BF9">
              <w:rPr>
                <w:b w:val="0"/>
                <w:sz w:val="24"/>
                <w:szCs w:val="24"/>
                <w:lang w:val="uk-UA" w:eastAsia="en-US"/>
              </w:rPr>
              <w:t>хабів</w:t>
            </w:r>
            <w:proofErr w:type="spellEnd"/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 на території області</w:t>
            </w:r>
          </w:p>
        </w:tc>
        <w:tc>
          <w:tcPr>
            <w:tcW w:w="3765" w:type="dxa"/>
          </w:tcPr>
          <w:p w:rsidR="002534F7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3.2.1. Підтримка створення </w:t>
            </w:r>
            <w:proofErr w:type="spellStart"/>
            <w:r w:rsidRPr="00174BF9">
              <w:rPr>
                <w:sz w:val="24"/>
                <w:szCs w:val="24"/>
              </w:rPr>
              <w:t>хабів</w:t>
            </w:r>
            <w:proofErr w:type="spellEnd"/>
            <w:r w:rsidRPr="00174BF9">
              <w:rPr>
                <w:sz w:val="24"/>
                <w:szCs w:val="24"/>
              </w:rPr>
              <w:t xml:space="preserve"> в регіоні</w:t>
            </w:r>
          </w:p>
          <w:p w:rsidR="007379DC" w:rsidRPr="00174BF9" w:rsidRDefault="007379DC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ількість створених </w:t>
            </w:r>
            <w:proofErr w:type="spellStart"/>
            <w:r>
              <w:rPr>
                <w:sz w:val="24"/>
                <w:szCs w:val="24"/>
              </w:rPr>
              <w:t>створених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хабів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од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2534F7" w:rsidRPr="00174BF9" w:rsidTr="002534F7">
        <w:trPr>
          <w:trHeight w:val="56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left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</w:tcPr>
          <w:p w:rsidR="002534F7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3.2.2. Створення інфраструктури підтримки кіноіндустрії на території області</w:t>
            </w:r>
          </w:p>
          <w:p w:rsidR="007379DC" w:rsidRPr="00174BF9" w:rsidRDefault="007379DC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Створена VFX-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лабораторія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од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2534F7" w:rsidRPr="00174BF9" w:rsidTr="002534F7">
        <w:trPr>
          <w:trHeight w:val="705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3.3.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Розвиток людських ресурсів у галузях смарт-спеціалізації регіону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2534F7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3.3.1. Підвищення професійних компетенцій наукових та студентських кадрів</w:t>
            </w:r>
          </w:p>
          <w:p w:rsidR="007379DC" w:rsidRPr="00174BF9" w:rsidRDefault="007379DC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Кількість запроваджених програм підвищення </w:t>
            </w:r>
            <w:proofErr w:type="spellStart"/>
            <w:r w:rsidRPr="00174BF9">
              <w:rPr>
                <w:sz w:val="24"/>
                <w:szCs w:val="24"/>
              </w:rPr>
              <w:t>копметенції</w:t>
            </w:r>
            <w:proofErr w:type="spellEnd"/>
            <w:r w:rsidRPr="00174BF9">
              <w:rPr>
                <w:sz w:val="24"/>
                <w:szCs w:val="24"/>
              </w:rPr>
              <w:t xml:space="preserve"> кадрів, од.</w:t>
            </w:r>
          </w:p>
        </w:tc>
      </w:tr>
      <w:tr w:rsidR="002534F7" w:rsidRPr="00174BF9" w:rsidTr="002534F7">
        <w:trPr>
          <w:trHeight w:val="569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  <w:tab w:val="left" w:pos="4502"/>
              </w:tabs>
              <w:ind w:right="176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3.3.2. Стимулювання співробітництва між навчальними закладами, науково-дослідними установами і підприємствами в регіоні</w:t>
            </w:r>
          </w:p>
          <w:p w:rsidR="00DD1EDB" w:rsidRDefault="00DD1EDB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  <w:p w:rsidR="00DD1EDB" w:rsidRPr="00174BF9" w:rsidRDefault="00DD1EDB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Частка прое</w:t>
            </w:r>
            <w:r w:rsidRPr="00174BF9">
              <w:rPr>
                <w:sz w:val="24"/>
                <w:szCs w:val="24"/>
              </w:rPr>
              <w:t xml:space="preserve">ктів з урахуванням наукових розробок та досліджень від впроваджених </w:t>
            </w:r>
            <w:proofErr w:type="spellStart"/>
            <w:r w:rsidRPr="00174BF9">
              <w:rPr>
                <w:sz w:val="24"/>
                <w:szCs w:val="24"/>
              </w:rPr>
              <w:t>проєктів</w:t>
            </w:r>
            <w:proofErr w:type="spellEnd"/>
            <w:r w:rsidRPr="00174BF9">
              <w:rPr>
                <w:sz w:val="24"/>
                <w:szCs w:val="24"/>
              </w:rPr>
              <w:t xml:space="preserve"> співпраці, </w:t>
            </w:r>
            <w:r>
              <w:rPr>
                <w:sz w:val="24"/>
                <w:szCs w:val="24"/>
              </w:rPr>
              <w:t>%</w:t>
            </w:r>
          </w:p>
        </w:tc>
      </w:tr>
      <w:tr w:rsidR="002534F7" w:rsidRPr="00174BF9" w:rsidTr="002534F7">
        <w:trPr>
          <w:trHeight w:val="474"/>
          <w:jc w:val="center"/>
        </w:trPr>
        <w:tc>
          <w:tcPr>
            <w:tcW w:w="10201" w:type="dxa"/>
            <w:gridSpan w:val="4"/>
          </w:tcPr>
          <w:p w:rsidR="002534F7" w:rsidRPr="00174BF9" w:rsidRDefault="002534F7" w:rsidP="00706AA3">
            <w:pPr>
              <w:pStyle w:val="TableParagraph"/>
              <w:ind w:left="50"/>
              <w:jc w:val="center"/>
              <w:rPr>
                <w:b/>
                <w:i/>
                <w:sz w:val="24"/>
                <w:szCs w:val="24"/>
              </w:rPr>
            </w:pPr>
            <w:r w:rsidRPr="00174BF9">
              <w:rPr>
                <w:b/>
                <w:i/>
                <w:sz w:val="24"/>
                <w:szCs w:val="24"/>
              </w:rPr>
              <w:lastRenderedPageBreak/>
              <w:t>4. Забезпечення охорони довкілля, екологічно збалансованого і раціонального природокористування та просторової гармонії</w:t>
            </w:r>
          </w:p>
        </w:tc>
      </w:tr>
      <w:tr w:rsidR="002534F7" w:rsidRPr="00174BF9" w:rsidTr="002534F7">
        <w:trPr>
          <w:trHeight w:val="1034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4.1.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Збереження та відтворення біологічного і ландшафтного різноманіття, природних комплексів, водних, земельних та лісових ресурсів, розширення регіональної екологічної мережі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4.1.1. Підтримка науково-практичних досліджень, розробок рекомендацій по збереженню біологічного і ландшафтного різноманіття регі</w:t>
            </w:r>
            <w:r>
              <w:rPr>
                <w:sz w:val="24"/>
                <w:szCs w:val="24"/>
              </w:rPr>
              <w:t>ону та розширення територій ПЗФ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Частка території ПЗФ, </w:t>
            </w:r>
            <w:r>
              <w:rPr>
                <w:sz w:val="24"/>
                <w:szCs w:val="24"/>
              </w:rPr>
              <w:t>%</w:t>
            </w:r>
          </w:p>
        </w:tc>
      </w:tr>
      <w:tr w:rsidR="002534F7" w:rsidRPr="00174BF9" w:rsidTr="002534F7">
        <w:trPr>
          <w:trHeight w:val="695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4.1.2.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збереження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раціонального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водних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ресурсів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Закарпатської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реалізованих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проєктів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водопостачання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водовідведення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од.</w:t>
            </w:r>
          </w:p>
          <w:p w:rsidR="001358F2" w:rsidRPr="00174BF9" w:rsidRDefault="001358F2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Частка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мешканців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забезпечених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централізованим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водопостачанням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водовідведенням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відс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</w:p>
        </w:tc>
      </w:tr>
      <w:tr w:rsidR="002534F7" w:rsidRPr="00174BF9" w:rsidTr="002534F7">
        <w:trPr>
          <w:trHeight w:val="695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4.1.3.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Збереження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відтворення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водно-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болотних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угідь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всіх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природних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висотно-зональних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територіях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регіону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2534F7" w:rsidRPr="00174BF9" w:rsidTr="002534F7">
        <w:trPr>
          <w:trHeight w:val="695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4.1.4 Створення системи моніторингу невиснажливого і раціонального використання ресурсів мінеральних і термальних вод області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Кількість виданих ліцензій на використання ресурсів мінеральних і термальних вод, од</w:t>
            </w:r>
            <w:r>
              <w:rPr>
                <w:sz w:val="24"/>
                <w:szCs w:val="24"/>
              </w:rPr>
              <w:t>.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Створення реєстру мінеральних вод області, од.</w:t>
            </w:r>
          </w:p>
        </w:tc>
      </w:tr>
      <w:tr w:rsidR="002534F7" w:rsidRPr="00174BF9" w:rsidTr="002534F7">
        <w:trPr>
          <w:trHeight w:val="344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4.1.5. </w:t>
            </w:r>
            <w:proofErr w:type="spellStart"/>
            <w:r w:rsidRPr="00F22C62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F22C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еколого-орієнтованого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багатофункціонального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наближеного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природи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лісівництва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лісів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впливу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кліматичних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змін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Відтворення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лісів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лісовому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фонді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тис.га</w:t>
            </w:r>
            <w:proofErr w:type="spellEnd"/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Рубки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оздоровлення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лісів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інших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пов’язаних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веденням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лісового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тис. га</w:t>
            </w:r>
          </w:p>
        </w:tc>
      </w:tr>
      <w:tr w:rsidR="002534F7" w:rsidRPr="00174BF9" w:rsidTr="002534F7">
        <w:trPr>
          <w:trHeight w:val="570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2E3F7C" w:rsidRDefault="002534F7" w:rsidP="00706AA3">
            <w:pPr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</w:pPr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4.1.6 </w:t>
            </w:r>
            <w:proofErr w:type="spellStart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Створення</w:t>
            </w:r>
            <w:proofErr w:type="spellEnd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умов для </w:t>
            </w:r>
            <w:proofErr w:type="spellStart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розвитку</w:t>
            </w:r>
            <w:proofErr w:type="spellEnd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гірських</w:t>
            </w:r>
            <w:proofErr w:type="spellEnd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полонинських</w:t>
            </w:r>
            <w:proofErr w:type="spellEnd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господарств</w:t>
            </w:r>
            <w:proofErr w:type="spellEnd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(</w:t>
            </w:r>
            <w:proofErr w:type="spellStart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вівчарство</w:t>
            </w:r>
            <w:proofErr w:type="spellEnd"/>
            <w:r w:rsidRPr="002E3F7C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)</w:t>
            </w:r>
          </w:p>
          <w:p w:rsidR="002534F7" w:rsidRPr="00174BF9" w:rsidRDefault="002534F7" w:rsidP="00706AA3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34F7" w:rsidRPr="00174BF9" w:rsidRDefault="002534F7" w:rsidP="00706AA3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253980" w:rsidRDefault="002534F7" w:rsidP="00706AA3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створених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господарств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>, 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534F7" w:rsidRPr="00174BF9" w:rsidTr="002534F7">
        <w:trPr>
          <w:trHeight w:val="570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ind w:left="284"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BF9">
              <w:rPr>
                <w:rFonts w:ascii="Times New Roman" w:hAnsi="Times New Roman"/>
                <w:sz w:val="24"/>
                <w:szCs w:val="24"/>
              </w:rPr>
              <w:t xml:space="preserve">4.1.7.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Збереження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відтворення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природних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сільськогосподарських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регіону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4F7" w:rsidRPr="00174BF9" w:rsidTr="002534F7">
        <w:trPr>
          <w:trHeight w:val="673"/>
          <w:jc w:val="center"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 w:right="202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4.1.8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Розвиток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регіональної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екологічної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мережі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основі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рекомендаці</w:t>
            </w:r>
            <w:r>
              <w:rPr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науково-прикладних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досліджень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</w:t>
            </w:r>
            <w:proofErr w:type="spellStart"/>
            <w:r w:rsidRPr="007F7871">
              <w:rPr>
                <w:iCs/>
                <w:sz w:val="24"/>
                <w:szCs w:val="24"/>
              </w:rPr>
              <w:t>роведення</w:t>
            </w:r>
            <w:proofErr w:type="spellEnd"/>
            <w:r w:rsidRPr="007F7871">
              <w:rPr>
                <w:iCs/>
                <w:sz w:val="24"/>
                <w:szCs w:val="24"/>
              </w:rPr>
              <w:t xml:space="preserve"> міжнародних навчальних та науково-дослі</w:t>
            </w:r>
            <w:r>
              <w:rPr>
                <w:iCs/>
                <w:sz w:val="24"/>
                <w:szCs w:val="24"/>
              </w:rPr>
              <w:t xml:space="preserve">дних природоохоронних програм і </w:t>
            </w:r>
            <w:r w:rsidRPr="007F7871">
              <w:rPr>
                <w:iCs/>
                <w:sz w:val="24"/>
                <w:szCs w:val="24"/>
              </w:rPr>
              <w:t>проектів</w:t>
            </w:r>
            <w:r>
              <w:rPr>
                <w:iCs/>
                <w:sz w:val="24"/>
                <w:szCs w:val="24"/>
              </w:rPr>
              <w:t>, од.</w:t>
            </w:r>
          </w:p>
        </w:tc>
      </w:tr>
      <w:tr w:rsidR="002534F7" w:rsidRPr="005B630F" w:rsidTr="002534F7">
        <w:trPr>
          <w:trHeight w:val="711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4.2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Покращення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якості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навколишнього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lastRenderedPageBreak/>
              <w:t>середовища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природних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і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урбанізованих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територіях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регіону</w:t>
            </w:r>
            <w:proofErr w:type="spellEnd"/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lastRenderedPageBreak/>
              <w:t xml:space="preserve">4.2.1. Збереження та підтримка якості довкілля (забруднення повітря, водних об’єктів, </w:t>
            </w:r>
            <w:proofErr w:type="spellStart"/>
            <w:r w:rsidRPr="00174BF9">
              <w:rPr>
                <w:sz w:val="24"/>
                <w:szCs w:val="24"/>
              </w:rPr>
              <w:t>грунтів</w:t>
            </w:r>
            <w:proofErr w:type="spellEnd"/>
            <w:r w:rsidRPr="00174BF9">
              <w:rPr>
                <w:sz w:val="24"/>
                <w:szCs w:val="24"/>
              </w:rPr>
              <w:t xml:space="preserve">, </w:t>
            </w:r>
            <w:r w:rsidRPr="00174BF9">
              <w:rPr>
                <w:sz w:val="24"/>
                <w:szCs w:val="24"/>
              </w:rPr>
              <w:lastRenderedPageBreak/>
              <w:t>радіаційної ситуаці</w:t>
            </w:r>
            <w:r>
              <w:rPr>
                <w:sz w:val="24"/>
                <w:szCs w:val="24"/>
              </w:rPr>
              <w:t>ї тощо) та інформування громад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lastRenderedPageBreak/>
              <w:t xml:space="preserve">Капітальні та поточні інвестиції на охорону навколишнього природного середовища на душу </w:t>
            </w:r>
            <w:r w:rsidRPr="00174BF9">
              <w:rPr>
                <w:sz w:val="24"/>
                <w:szCs w:val="24"/>
              </w:rPr>
              <w:lastRenderedPageBreak/>
              <w:t>населення, грн.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Обсяги забруднюючих речовин, які надійшли в повітряний басейн області від стаціонарних джерел забруднення, </w:t>
            </w:r>
            <w:r>
              <w:rPr>
                <w:sz w:val="24"/>
                <w:szCs w:val="24"/>
              </w:rPr>
              <w:t>%</w:t>
            </w:r>
          </w:p>
        </w:tc>
      </w:tr>
      <w:tr w:rsidR="002534F7" w:rsidRPr="00174BF9" w:rsidTr="002534F7">
        <w:trPr>
          <w:trHeight w:val="423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4.2.2.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Підвищення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якості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водопостачання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очистки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стічних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вод на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всій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території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Частка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реконструйованих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новозбудованих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КНС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потреби, </w:t>
            </w:r>
            <w:r>
              <w:rPr>
                <w:sz w:val="24"/>
                <w:szCs w:val="24"/>
                <w:lang w:val="ru-RU"/>
              </w:rPr>
              <w:t>%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Частка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реконструйованих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новозбудованих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КОС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потреби,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відс</w:t>
            </w:r>
            <w:proofErr w:type="spellEnd"/>
          </w:p>
        </w:tc>
      </w:tr>
      <w:tr w:rsidR="002534F7" w:rsidRPr="00174BF9" w:rsidTr="002534F7">
        <w:trPr>
          <w:trHeight w:val="699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ru-RU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4.2.3.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Зниження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рівня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забруднення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повітря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викидами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стаціонарних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джерел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забруднення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містах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селищах і селах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 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забруднюючих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речовин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тонн</w:t>
            </w:r>
          </w:p>
        </w:tc>
      </w:tr>
      <w:tr w:rsidR="002534F7" w:rsidRPr="005B630F" w:rsidTr="002534F7">
        <w:trPr>
          <w:trHeight w:val="680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ru-RU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4.2.4.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Відтворення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якості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грунтів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сильно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забруднених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локальних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територіях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основі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моніторингу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довкілля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Капітальні інвестиції, вкладені у захист і реабілітацію </w:t>
            </w:r>
            <w:proofErr w:type="spellStart"/>
            <w:r w:rsidRPr="00174BF9">
              <w:rPr>
                <w:sz w:val="24"/>
                <w:szCs w:val="24"/>
              </w:rPr>
              <w:t>грунтів</w:t>
            </w:r>
            <w:proofErr w:type="spellEnd"/>
            <w:r w:rsidRPr="00174BF9">
              <w:rPr>
                <w:sz w:val="24"/>
                <w:szCs w:val="24"/>
              </w:rPr>
              <w:t xml:space="preserve"> та інших, у фактичних цінах, </w:t>
            </w:r>
            <w:proofErr w:type="spellStart"/>
            <w:r w:rsidRPr="00174BF9">
              <w:rPr>
                <w:sz w:val="24"/>
                <w:szCs w:val="24"/>
              </w:rPr>
              <w:t>млн.грн</w:t>
            </w:r>
            <w:proofErr w:type="spellEnd"/>
            <w:r w:rsidRPr="00174BF9">
              <w:rPr>
                <w:sz w:val="24"/>
                <w:szCs w:val="24"/>
              </w:rPr>
              <w:t>.</w:t>
            </w:r>
          </w:p>
        </w:tc>
      </w:tr>
      <w:tr w:rsidR="002534F7" w:rsidRPr="00174BF9" w:rsidTr="002534F7">
        <w:trPr>
          <w:trHeight w:val="704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4.2.5.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поширення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чисельності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окремих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дикорослих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рослин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отруйних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наркотиковмісних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карантинних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Капітальні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інвестиції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вкладені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у заходи з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поширення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чисельності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окремих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дикорослих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рослин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отруйних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наркотиковмісних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карантинних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, тис. грн.</w:t>
            </w:r>
          </w:p>
        </w:tc>
      </w:tr>
      <w:tr w:rsidR="002534F7" w:rsidRPr="00174BF9" w:rsidTr="002534F7">
        <w:trPr>
          <w:trHeight w:val="416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4.3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b w:val="0"/>
                <w:sz w:val="24"/>
                <w:szCs w:val="24"/>
                <w:lang w:val="ru-RU" w:eastAsia="en-US"/>
              </w:rPr>
            </w:pP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Розвиток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і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вдосконалення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систем та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засобів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захисту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територій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від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природних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лих і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техногенних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катастроф та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глобальних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змін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клімату</w:t>
            </w:r>
            <w:proofErr w:type="spellEnd"/>
          </w:p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ru-RU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4.3.1.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Захист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територій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населених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пунктів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регіону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повеней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паводків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підтоплень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Протяжність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дамб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інших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водозахисних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конструкцій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км</w:t>
            </w:r>
          </w:p>
          <w:p w:rsidR="002534F7" w:rsidRPr="00174BF9" w:rsidRDefault="002B76A8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Протяжність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розчищенних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русел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річок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>, км</w:t>
            </w:r>
          </w:p>
        </w:tc>
      </w:tr>
      <w:tr w:rsidR="002534F7" w:rsidRPr="00174BF9" w:rsidTr="002534F7">
        <w:trPr>
          <w:trHeight w:val="834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ru-RU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4.3.2.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Запобігання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захист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гірських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територій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селей,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зсувів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ерозії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деградації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грунтів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зневоднення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зниження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рівнів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грунтових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вод 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2534F7" w:rsidRPr="00174BF9" w:rsidTr="002534F7">
        <w:trPr>
          <w:trHeight w:val="1380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ru-RU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4.3.3.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інноваційних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техніко-технологічних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рішень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передових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країн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світу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адаптації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урбанізованих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міських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сільських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природних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територій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глобальних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клімату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2534F7" w:rsidRPr="00174BF9" w:rsidTr="002534F7">
        <w:trPr>
          <w:trHeight w:val="695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ru-RU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tabs>
                <w:tab w:val="left" w:pos="867"/>
              </w:tabs>
              <w:ind w:left="284" w:right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3.4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Вдосконалення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системи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раннього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оповіщення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та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підготовки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мешканців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населених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пунктів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до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дій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в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умовах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потенційних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lastRenderedPageBreak/>
              <w:t>природних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лих і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техногенних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катастроф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ind w:left="22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lastRenderedPageBreak/>
              <w:t>Частка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охоплення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системою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раннього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BF9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174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34F7" w:rsidRPr="00174BF9" w:rsidTr="002534F7">
        <w:trPr>
          <w:trHeight w:val="695"/>
          <w:jc w:val="center"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ru-RU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8837FF" w:rsidRDefault="002534F7" w:rsidP="00706AA3">
            <w:pPr>
              <w:ind w:left="284" w:right="2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4.3.5.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Розвиток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системи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забезпечення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bookmarkStart w:id="1" w:name="__DdeLink__5173_52463168"/>
            <w:bookmarkEnd w:id="1"/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пожежної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та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техногенної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безпеки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на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території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Закарпатської</w:t>
            </w:r>
            <w:proofErr w:type="spellEnd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8837FF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області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ind w:left="2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4F7" w:rsidRPr="00174BF9" w:rsidTr="002534F7">
        <w:trPr>
          <w:trHeight w:val="553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4.4.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jc w:val="left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Актуалізація, уточнення і впровадження чинної Стратегії поводження з відходами у Закарпатській області, розробленої і схваленої на 15-річний період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4.4.1.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Підтримка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комплексної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переробки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ТПВ на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умовах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державно-приватного партнерства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Розроблення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Стратегії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відходами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од.</w:t>
            </w:r>
          </w:p>
        </w:tc>
      </w:tr>
      <w:tr w:rsidR="002534F7" w:rsidRPr="00174BF9" w:rsidTr="002534F7">
        <w:trPr>
          <w:trHeight w:val="561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4.4.2. Підтримка інформаційно-роз’яснювальної і просвітницької роботи у сфері поводження з ТПВ та підвищення рівня екологічної та природоохоронної культури населення на території області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  <w:p w:rsidR="002534F7" w:rsidRPr="00174BF9" w:rsidRDefault="002534F7" w:rsidP="00582794">
            <w:pPr>
              <w:pStyle w:val="TableParagraph"/>
              <w:ind w:left="144" w:hanging="141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   Кількість виданих інформаційних матеріалів, од</w:t>
            </w:r>
          </w:p>
        </w:tc>
      </w:tr>
      <w:tr w:rsidR="002534F7" w:rsidRPr="005B630F" w:rsidTr="002534F7">
        <w:trPr>
          <w:trHeight w:val="1404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4.4.3. Підтримка в населених пунктах локальних систем збору «зелених» відходів та вологої фракції ТПВ з подальшою утилізацією для компостування і виробництва біогазу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2534F7" w:rsidRPr="00174BF9" w:rsidTr="002534F7">
        <w:trPr>
          <w:trHeight w:val="70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4.5.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1"/>
              <w:tabs>
                <w:tab w:val="left" w:pos="1891"/>
              </w:tabs>
              <w:ind w:right="126"/>
              <w:jc w:val="left"/>
              <w:rPr>
                <w:b w:val="0"/>
                <w:sz w:val="24"/>
                <w:szCs w:val="24"/>
                <w:lang w:val="ru-RU" w:eastAsia="en-US"/>
              </w:rPr>
            </w:pP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Впровадження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екологічної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і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природоохоронної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складових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розробку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і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оновлення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містобудівної</w:t>
            </w:r>
            <w:proofErr w:type="spellEnd"/>
            <w:r w:rsidRPr="00174BF9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BF9">
              <w:rPr>
                <w:b w:val="0"/>
                <w:sz w:val="24"/>
                <w:szCs w:val="24"/>
                <w:lang w:val="ru-RU" w:eastAsia="en-US"/>
              </w:rPr>
              <w:t>документації</w:t>
            </w:r>
            <w:proofErr w:type="spellEnd"/>
          </w:p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ru-RU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b/>
                <w:sz w:val="24"/>
                <w:szCs w:val="24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4.5.1.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Коригування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Схеми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планування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території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Закарпатської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іншої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планувальної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екологічного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природоохоронного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потреб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регіону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Оновлена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Схема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планування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території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Закарпатської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од.</w:t>
            </w:r>
          </w:p>
        </w:tc>
      </w:tr>
      <w:tr w:rsidR="002534F7" w:rsidRPr="00174BF9" w:rsidTr="002534F7">
        <w:trPr>
          <w:trHeight w:val="982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ru-RU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Default="002534F7" w:rsidP="002534F7">
            <w:pPr>
              <w:pStyle w:val="TableParagraph"/>
              <w:numPr>
                <w:ilvl w:val="2"/>
                <w:numId w:val="2"/>
              </w:numPr>
              <w:tabs>
                <w:tab w:val="left" w:pos="1008"/>
              </w:tabs>
              <w:ind w:left="300" w:firstLine="141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Підвищення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кваліфікації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перекваліфікації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держслужбовців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посадовців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місцевих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рад з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питань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екологічної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природоохоронної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складових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містобудівної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документації</w:t>
            </w:r>
            <w:proofErr w:type="spellEnd"/>
          </w:p>
          <w:p w:rsidR="002534F7" w:rsidRDefault="002534F7" w:rsidP="00706AA3">
            <w:pPr>
              <w:pStyle w:val="TableParagraph"/>
              <w:tabs>
                <w:tab w:val="left" w:pos="1008"/>
              </w:tabs>
              <w:ind w:left="441"/>
              <w:rPr>
                <w:sz w:val="24"/>
                <w:szCs w:val="24"/>
                <w:lang w:val="ru-RU"/>
              </w:rPr>
            </w:pPr>
          </w:p>
          <w:p w:rsidR="002534F7" w:rsidRDefault="002534F7" w:rsidP="00706AA3">
            <w:pPr>
              <w:pStyle w:val="TableParagraph"/>
              <w:tabs>
                <w:tab w:val="left" w:pos="1008"/>
              </w:tabs>
              <w:ind w:left="441"/>
              <w:rPr>
                <w:sz w:val="24"/>
                <w:szCs w:val="24"/>
                <w:lang w:val="ru-RU"/>
              </w:rPr>
            </w:pPr>
          </w:p>
          <w:p w:rsidR="002534F7" w:rsidRPr="00174BF9" w:rsidRDefault="002534F7" w:rsidP="00706AA3">
            <w:pPr>
              <w:pStyle w:val="TableParagraph"/>
              <w:ind w:left="1647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Проведені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навчальні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  <w:lang w:val="ru-RU"/>
              </w:rPr>
              <w:t>семінари</w:t>
            </w:r>
            <w:proofErr w:type="spellEnd"/>
            <w:r>
              <w:rPr>
                <w:sz w:val="24"/>
                <w:szCs w:val="24"/>
                <w:lang w:val="ru-RU"/>
              </w:rPr>
              <w:t>, од.</w:t>
            </w:r>
          </w:p>
        </w:tc>
      </w:tr>
      <w:tr w:rsidR="002534F7" w:rsidRPr="00174BF9" w:rsidTr="002534F7">
        <w:trPr>
          <w:trHeight w:val="501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1981"/>
              <w:jc w:val="center"/>
              <w:rPr>
                <w:b/>
                <w:sz w:val="24"/>
                <w:szCs w:val="24"/>
              </w:rPr>
            </w:pPr>
            <w:r w:rsidRPr="00174BF9">
              <w:rPr>
                <w:b/>
                <w:i/>
                <w:sz w:val="24"/>
                <w:szCs w:val="24"/>
              </w:rPr>
              <w:t>5. Забезпечення сталого розвитку сільських та гірських територій в умовах системних реформ</w:t>
            </w:r>
          </w:p>
        </w:tc>
      </w:tr>
      <w:tr w:rsidR="002534F7" w:rsidRPr="00174BF9" w:rsidTr="002534F7">
        <w:trPr>
          <w:trHeight w:val="607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5.1.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ru-RU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 xml:space="preserve">Вирівнювання диспропорцій розвитку гірських, передгірних і </w:t>
            </w:r>
            <w:r w:rsidRPr="00174BF9">
              <w:rPr>
                <w:b w:val="0"/>
                <w:sz w:val="24"/>
                <w:szCs w:val="24"/>
                <w:lang w:val="uk-UA" w:eastAsia="en-US"/>
              </w:rPr>
              <w:lastRenderedPageBreak/>
              <w:t>низинних територій</w:t>
            </w: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lastRenderedPageBreak/>
              <w:t xml:space="preserve">5.1.1.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Розвиток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гірських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населених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пунктів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реалізованих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проєктів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території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гірських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населених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пунктів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рахунок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бюджетних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коштів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од.</w:t>
            </w:r>
          </w:p>
          <w:p w:rsidR="002534F7" w:rsidRPr="00174BF9" w:rsidRDefault="00C0709D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Обсяг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залучених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інвестицій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розвиток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гірських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територій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>, грн.</w:t>
            </w:r>
          </w:p>
        </w:tc>
      </w:tr>
      <w:tr w:rsidR="002534F7" w:rsidRPr="00174BF9" w:rsidTr="002534F7">
        <w:trPr>
          <w:trHeight w:val="559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5.1.2.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Покращення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доступності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гірських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передгірських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поселень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C0709D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Діюча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диспетчерська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служба</w:t>
            </w:r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екстренного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реагування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швидкої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медичної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>, од.</w:t>
            </w:r>
          </w:p>
        </w:tc>
      </w:tr>
      <w:tr w:rsidR="002534F7" w:rsidRPr="00174BF9" w:rsidTr="002534F7">
        <w:trPr>
          <w:trHeight w:val="559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5.1.3. </w:t>
            </w:r>
            <w:r w:rsidRPr="00174BF9">
              <w:rPr>
                <w:sz w:val="24"/>
                <w:szCs w:val="24"/>
              </w:rPr>
              <w:t>Розбудова систем зв</w:t>
            </w:r>
            <w:r w:rsidRPr="00174BF9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174BF9">
              <w:rPr>
                <w:sz w:val="24"/>
                <w:szCs w:val="24"/>
              </w:rPr>
              <w:t>язку</w:t>
            </w:r>
            <w:proofErr w:type="spellEnd"/>
            <w:r w:rsidRPr="00174BF9">
              <w:rPr>
                <w:sz w:val="24"/>
                <w:szCs w:val="24"/>
              </w:rPr>
              <w:t xml:space="preserve"> і телекомунікацій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Частка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покриття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широкосмугового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доступу до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мережі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інтернет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гірських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територіях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%</w:t>
            </w:r>
          </w:p>
          <w:p w:rsidR="002534F7" w:rsidRPr="00174BF9" w:rsidRDefault="00C0709D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діючих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ретранслюючих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станцій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>, один.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 w:rsidRPr="00174BF9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709D">
              <w:rPr>
                <w:sz w:val="24"/>
                <w:szCs w:val="24"/>
                <w:lang w:val="ru-RU"/>
              </w:rPr>
              <w:t>діючих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центрів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F9">
              <w:rPr>
                <w:sz w:val="24"/>
                <w:szCs w:val="24"/>
                <w:lang w:val="ru-RU"/>
              </w:rPr>
              <w:t>безпеки</w:t>
            </w:r>
            <w:proofErr w:type="spellEnd"/>
            <w:r w:rsidRPr="00174BF9">
              <w:rPr>
                <w:sz w:val="24"/>
                <w:szCs w:val="24"/>
                <w:lang w:val="ru-RU"/>
              </w:rPr>
              <w:t>, од.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color w:val="000000"/>
                <w:sz w:val="24"/>
                <w:szCs w:val="24"/>
              </w:rPr>
            </w:pP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2534F7" w:rsidRPr="00174BF9" w:rsidTr="002534F7">
        <w:trPr>
          <w:trHeight w:val="559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174BF9">
              <w:rPr>
                <w:sz w:val="24"/>
                <w:szCs w:val="24"/>
                <w:lang w:val="ru-RU"/>
              </w:rPr>
              <w:t xml:space="preserve">5.1.4. </w:t>
            </w:r>
            <w:r w:rsidRPr="00174BF9">
              <w:rPr>
                <w:sz w:val="24"/>
                <w:szCs w:val="24"/>
              </w:rPr>
              <w:t>Визначення та створення економічних точок зростання в територіальних громадах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C0709D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Діючий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центр</w:t>
            </w:r>
            <w:r w:rsidR="002534F7" w:rsidRPr="00174B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4F7" w:rsidRPr="00174BF9">
              <w:rPr>
                <w:sz w:val="24"/>
                <w:szCs w:val="24"/>
                <w:lang w:val="ru-RU"/>
              </w:rPr>
              <w:t>ремісництва</w:t>
            </w:r>
            <w:proofErr w:type="spellEnd"/>
            <w:r w:rsidR="002534F7" w:rsidRPr="00174BF9">
              <w:rPr>
                <w:sz w:val="24"/>
                <w:szCs w:val="24"/>
                <w:lang w:val="ru-RU"/>
              </w:rPr>
              <w:t>, од</w:t>
            </w:r>
            <w:r w:rsidR="002534F7">
              <w:rPr>
                <w:sz w:val="24"/>
                <w:szCs w:val="24"/>
                <w:lang w:val="ru-RU"/>
              </w:rPr>
              <w:t>.</w:t>
            </w:r>
          </w:p>
          <w:p w:rsidR="002534F7" w:rsidRPr="00174BF9" w:rsidRDefault="002534F7" w:rsidP="00706AA3">
            <w:pPr>
              <w:pStyle w:val="TableParagraph"/>
              <w:ind w:left="223"/>
              <w:rPr>
                <w:sz w:val="24"/>
                <w:szCs w:val="24"/>
                <w:lang w:val="ru-RU"/>
              </w:rPr>
            </w:pPr>
          </w:p>
        </w:tc>
      </w:tr>
      <w:tr w:rsidR="002534F7" w:rsidRPr="00174BF9" w:rsidTr="002534F7">
        <w:trPr>
          <w:trHeight w:val="759"/>
          <w:jc w:val="center"/>
        </w:trPr>
        <w:tc>
          <w:tcPr>
            <w:tcW w:w="593" w:type="dxa"/>
            <w:vMerge w:val="restart"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5.2.</w:t>
            </w:r>
          </w:p>
        </w:tc>
        <w:tc>
          <w:tcPr>
            <w:tcW w:w="2158" w:type="dxa"/>
            <w:vMerge w:val="restart"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  <w:r w:rsidRPr="00174BF9">
              <w:rPr>
                <w:b w:val="0"/>
                <w:sz w:val="24"/>
                <w:szCs w:val="24"/>
                <w:lang w:val="uk-UA" w:eastAsia="en-US"/>
              </w:rPr>
              <w:t>Підтримка економічної активності на сільських територіях</w:t>
            </w: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5.2.1. Підтримка суб’єктів підприємництва, які функціонують в гірських та передгірських населених пунктах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C0709D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 Кількість створених центрів підприємництва в громадах, од</w:t>
            </w:r>
            <w:r>
              <w:rPr>
                <w:sz w:val="24"/>
                <w:szCs w:val="24"/>
              </w:rPr>
              <w:t>.</w:t>
            </w:r>
          </w:p>
          <w:p w:rsidR="002534F7" w:rsidRPr="00174BF9" w:rsidRDefault="002534F7" w:rsidP="00C0709D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 Протяжність збудованих (реконструйованих) доріг, </w:t>
            </w:r>
            <w:proofErr w:type="spellStart"/>
            <w:r w:rsidRPr="00174BF9">
              <w:rPr>
                <w:sz w:val="24"/>
                <w:szCs w:val="24"/>
              </w:rPr>
              <w:t>тис.км</w:t>
            </w:r>
            <w:proofErr w:type="spellEnd"/>
            <w:r w:rsidRPr="00174BF9">
              <w:rPr>
                <w:sz w:val="24"/>
                <w:szCs w:val="24"/>
              </w:rPr>
              <w:t>.</w:t>
            </w:r>
          </w:p>
          <w:p w:rsidR="002534F7" w:rsidRPr="00174BF9" w:rsidRDefault="002534F7" w:rsidP="00C0709D">
            <w:pPr>
              <w:pStyle w:val="TableParagraph"/>
              <w:ind w:left="223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 xml:space="preserve"> Частка покриття широкосмугового доступу до мережі інтернет на гірських територіях, </w:t>
            </w:r>
            <w:r>
              <w:rPr>
                <w:sz w:val="24"/>
                <w:szCs w:val="24"/>
              </w:rPr>
              <w:t>%</w:t>
            </w:r>
          </w:p>
        </w:tc>
      </w:tr>
      <w:tr w:rsidR="002534F7" w:rsidRPr="00174BF9" w:rsidTr="002534F7">
        <w:trPr>
          <w:trHeight w:val="759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5.2.2. Підтримка традиційних і найбільш перспективних для гірських територій видів діяльності лісового та сільського господарства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a3"/>
              <w:tabs>
                <w:tab w:val="left" w:pos="851"/>
                <w:tab w:val="left" w:pos="993"/>
              </w:tabs>
              <w:spacing w:line="276" w:lineRule="auto"/>
              <w:ind w:left="22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74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Функціонування центрів ремісництва, од.</w:t>
            </w:r>
          </w:p>
          <w:p w:rsidR="002534F7" w:rsidRPr="00174BF9" w:rsidRDefault="002534F7" w:rsidP="00706AA3">
            <w:pPr>
              <w:pStyle w:val="a3"/>
              <w:tabs>
                <w:tab w:val="left" w:pos="851"/>
                <w:tab w:val="left" w:pos="993"/>
              </w:tabs>
              <w:spacing w:line="276" w:lineRule="auto"/>
              <w:ind w:left="22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74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Кількість створених сироварень на території області, од.</w:t>
            </w:r>
          </w:p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2534F7" w:rsidRPr="00174BF9" w:rsidTr="002534F7">
        <w:trPr>
          <w:trHeight w:val="759"/>
          <w:jc w:val="center"/>
        </w:trPr>
        <w:tc>
          <w:tcPr>
            <w:tcW w:w="593" w:type="dxa"/>
            <w:vMerge/>
          </w:tcPr>
          <w:p w:rsidR="002534F7" w:rsidRPr="00174BF9" w:rsidRDefault="002534F7" w:rsidP="00706AA3">
            <w:pPr>
              <w:pStyle w:val="TableParagraph"/>
              <w:ind w:left="575" w:right="109" w:hanging="440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2534F7" w:rsidRPr="00174BF9" w:rsidRDefault="002534F7" w:rsidP="00706AA3">
            <w:pPr>
              <w:pStyle w:val="1"/>
              <w:tabs>
                <w:tab w:val="left" w:pos="1701"/>
              </w:tabs>
              <w:ind w:right="547"/>
              <w:rPr>
                <w:b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284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5.2.3. Підтримка діяльності інституцій економічного і соціального розвитку на гірських територіях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534F7" w:rsidRPr="00174BF9" w:rsidRDefault="002534F7" w:rsidP="00706AA3">
            <w:pPr>
              <w:pStyle w:val="TableParagraph"/>
              <w:ind w:left="16" w:right="-98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Кількість створених кооперативів, од.</w:t>
            </w:r>
          </w:p>
          <w:p w:rsidR="002534F7" w:rsidRPr="00174BF9" w:rsidRDefault="002534F7" w:rsidP="00706AA3">
            <w:pPr>
              <w:pStyle w:val="TableParagraph"/>
              <w:ind w:left="16" w:right="-98"/>
              <w:rPr>
                <w:sz w:val="24"/>
                <w:szCs w:val="24"/>
              </w:rPr>
            </w:pPr>
            <w:r w:rsidRPr="00174BF9">
              <w:rPr>
                <w:sz w:val="24"/>
                <w:szCs w:val="24"/>
              </w:rPr>
              <w:t>Кількість створених центрів розвитку бізнесу, од.</w:t>
            </w:r>
          </w:p>
        </w:tc>
      </w:tr>
    </w:tbl>
    <w:p w:rsidR="00F8365A" w:rsidRDefault="00F8365A"/>
    <w:sectPr w:rsidR="00F8365A" w:rsidSect="002534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D852D9C"/>
    <w:multiLevelType w:val="multilevel"/>
    <w:tmpl w:val="2E5AB8A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5"/>
      <w:numFmt w:val="decimal"/>
      <w:isLgl/>
      <w:lvlText w:val="%1.%2."/>
      <w:lvlJc w:val="left"/>
      <w:pPr>
        <w:ind w:left="152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39C7F72"/>
    <w:multiLevelType w:val="multilevel"/>
    <w:tmpl w:val="30F46F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7E321175"/>
    <w:multiLevelType w:val="hybridMultilevel"/>
    <w:tmpl w:val="4D341E48"/>
    <w:lvl w:ilvl="0" w:tplc="9A16C09A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90" w:hanging="360"/>
      </w:pPr>
    </w:lvl>
    <w:lvl w:ilvl="2" w:tplc="2000001B" w:tentative="1">
      <w:start w:val="1"/>
      <w:numFmt w:val="lowerRoman"/>
      <w:lvlText w:val="%3."/>
      <w:lvlJc w:val="right"/>
      <w:pPr>
        <w:ind w:left="3110" w:hanging="180"/>
      </w:pPr>
    </w:lvl>
    <w:lvl w:ilvl="3" w:tplc="2000000F" w:tentative="1">
      <w:start w:val="1"/>
      <w:numFmt w:val="decimal"/>
      <w:lvlText w:val="%4."/>
      <w:lvlJc w:val="left"/>
      <w:pPr>
        <w:ind w:left="3830" w:hanging="360"/>
      </w:pPr>
    </w:lvl>
    <w:lvl w:ilvl="4" w:tplc="20000019" w:tentative="1">
      <w:start w:val="1"/>
      <w:numFmt w:val="lowerLetter"/>
      <w:lvlText w:val="%5."/>
      <w:lvlJc w:val="left"/>
      <w:pPr>
        <w:ind w:left="4550" w:hanging="360"/>
      </w:pPr>
    </w:lvl>
    <w:lvl w:ilvl="5" w:tplc="2000001B" w:tentative="1">
      <w:start w:val="1"/>
      <w:numFmt w:val="lowerRoman"/>
      <w:lvlText w:val="%6."/>
      <w:lvlJc w:val="right"/>
      <w:pPr>
        <w:ind w:left="5270" w:hanging="180"/>
      </w:pPr>
    </w:lvl>
    <w:lvl w:ilvl="6" w:tplc="2000000F" w:tentative="1">
      <w:start w:val="1"/>
      <w:numFmt w:val="decimal"/>
      <w:lvlText w:val="%7."/>
      <w:lvlJc w:val="left"/>
      <w:pPr>
        <w:ind w:left="5990" w:hanging="360"/>
      </w:pPr>
    </w:lvl>
    <w:lvl w:ilvl="7" w:tplc="20000019" w:tentative="1">
      <w:start w:val="1"/>
      <w:numFmt w:val="lowerLetter"/>
      <w:lvlText w:val="%8."/>
      <w:lvlJc w:val="left"/>
      <w:pPr>
        <w:ind w:left="6710" w:hanging="360"/>
      </w:pPr>
    </w:lvl>
    <w:lvl w:ilvl="8" w:tplc="2000001B" w:tentative="1">
      <w:start w:val="1"/>
      <w:numFmt w:val="lowerRoman"/>
      <w:lvlText w:val="%9."/>
      <w:lvlJc w:val="right"/>
      <w:pPr>
        <w:ind w:left="74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F7"/>
    <w:rsid w:val="00021C8E"/>
    <w:rsid w:val="000A1F72"/>
    <w:rsid w:val="001358F2"/>
    <w:rsid w:val="001601BA"/>
    <w:rsid w:val="002534F7"/>
    <w:rsid w:val="002B76A8"/>
    <w:rsid w:val="00582794"/>
    <w:rsid w:val="005B630F"/>
    <w:rsid w:val="007379DC"/>
    <w:rsid w:val="00AC2566"/>
    <w:rsid w:val="00B12642"/>
    <w:rsid w:val="00C0709D"/>
    <w:rsid w:val="00D37D2A"/>
    <w:rsid w:val="00D76A05"/>
    <w:rsid w:val="00DD1EDB"/>
    <w:rsid w:val="00F37D1F"/>
    <w:rsid w:val="00F8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46DE"/>
  <w15:docId w15:val="{784172F0-BDDD-4B76-98C3-4040F7C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5"/>
    <w:basedOn w:val="a"/>
    <w:next w:val="a"/>
    <w:link w:val="10"/>
    <w:uiPriority w:val="1"/>
    <w:qFormat/>
    <w:rsid w:val="002534F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2534F7"/>
    <w:pPr>
      <w:keepNext/>
      <w:keepLines/>
      <w:numPr>
        <w:ilvl w:val="1"/>
        <w:numId w:val="1"/>
      </w:numPr>
      <w:tabs>
        <w:tab w:val="clear" w:pos="0"/>
      </w:tabs>
      <w:spacing w:before="240" w:after="60" w:line="240" w:lineRule="auto"/>
      <w:jc w:val="center"/>
      <w:outlineLvl w:val="1"/>
    </w:pPr>
    <w:rPr>
      <w:rFonts w:ascii="Arial" w:eastAsia="Times New Roman" w:hAnsi="Arial"/>
      <w:b/>
      <w:i/>
      <w:color w:val="00FF00"/>
      <w:sz w:val="28"/>
      <w:szCs w:val="20"/>
      <w:lang w:val="en-GB" w:eastAsia="ru-RU"/>
    </w:rPr>
  </w:style>
  <w:style w:type="paragraph" w:styleId="3">
    <w:name w:val="heading 3"/>
    <w:basedOn w:val="a"/>
    <w:next w:val="a"/>
    <w:link w:val="30"/>
    <w:qFormat/>
    <w:rsid w:val="002534F7"/>
    <w:pPr>
      <w:keepNext/>
      <w:numPr>
        <w:ilvl w:val="2"/>
        <w:numId w:val="1"/>
      </w:numPr>
      <w:tabs>
        <w:tab w:val="clear" w:pos="0"/>
      </w:tabs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534F7"/>
    <w:pPr>
      <w:keepNext/>
      <w:keepLines/>
      <w:numPr>
        <w:ilvl w:val="3"/>
        <w:numId w:val="1"/>
      </w:numPr>
      <w:tabs>
        <w:tab w:val="clear" w:pos="0"/>
      </w:tabs>
      <w:spacing w:before="240" w:after="60" w:line="240" w:lineRule="auto"/>
      <w:jc w:val="center"/>
      <w:outlineLvl w:val="3"/>
    </w:pPr>
    <w:rPr>
      <w:rFonts w:ascii="Arial" w:eastAsia="Times New Roman" w:hAnsi="Arial"/>
      <w:b/>
      <w:color w:val="FF00FF"/>
      <w:sz w:val="20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2534F7"/>
    <w:pPr>
      <w:keepNext/>
      <w:keepLines/>
      <w:numPr>
        <w:ilvl w:val="4"/>
        <w:numId w:val="1"/>
      </w:numPr>
      <w:tabs>
        <w:tab w:val="clear" w:pos="0"/>
      </w:tabs>
      <w:spacing w:before="120" w:after="60" w:line="240" w:lineRule="auto"/>
      <w:outlineLvl w:val="4"/>
    </w:pPr>
    <w:rPr>
      <w:rFonts w:ascii="Arial" w:eastAsia="Times New Roman" w:hAnsi="Arial"/>
      <w:b/>
      <w:sz w:val="20"/>
      <w:szCs w:val="20"/>
      <w:lang w:val="en-GB" w:eastAsia="ru-RU"/>
    </w:rPr>
  </w:style>
  <w:style w:type="paragraph" w:styleId="6">
    <w:name w:val="heading 6"/>
    <w:basedOn w:val="1"/>
    <w:next w:val="a"/>
    <w:link w:val="60"/>
    <w:qFormat/>
    <w:rsid w:val="002534F7"/>
    <w:pPr>
      <w:keepLines/>
      <w:numPr>
        <w:ilvl w:val="5"/>
      </w:numPr>
      <w:tabs>
        <w:tab w:val="clear" w:pos="0"/>
      </w:tabs>
      <w:spacing w:before="240" w:after="60"/>
      <w:outlineLvl w:val="5"/>
    </w:pPr>
    <w:rPr>
      <w:rFonts w:ascii="Arial" w:hAnsi="Arial"/>
      <w:bCs w:val="0"/>
      <w:caps/>
      <w:color w:val="FF0000"/>
      <w:kern w:val="32"/>
      <w:sz w:val="32"/>
      <w:szCs w:val="20"/>
      <w:lang w:val="en-GB"/>
    </w:rPr>
  </w:style>
  <w:style w:type="paragraph" w:styleId="7">
    <w:name w:val="heading 7"/>
    <w:basedOn w:val="2"/>
    <w:next w:val="a"/>
    <w:link w:val="70"/>
    <w:qFormat/>
    <w:rsid w:val="002534F7"/>
    <w:pPr>
      <w:numPr>
        <w:ilvl w:val="6"/>
      </w:numPr>
      <w:tabs>
        <w:tab w:val="clear" w:pos="0"/>
      </w:tabs>
      <w:outlineLvl w:val="6"/>
    </w:pPr>
  </w:style>
  <w:style w:type="paragraph" w:styleId="8">
    <w:name w:val="heading 8"/>
    <w:basedOn w:val="3"/>
    <w:next w:val="a"/>
    <w:link w:val="80"/>
    <w:qFormat/>
    <w:rsid w:val="002534F7"/>
    <w:pPr>
      <w:keepLines/>
      <w:numPr>
        <w:ilvl w:val="7"/>
      </w:numPr>
      <w:tabs>
        <w:tab w:val="clear" w:pos="0"/>
      </w:tabs>
      <w:autoSpaceDE/>
      <w:autoSpaceDN/>
      <w:jc w:val="center"/>
      <w:outlineLvl w:val="7"/>
    </w:pPr>
    <w:rPr>
      <w:rFonts w:ascii="Arial" w:hAnsi="Arial"/>
      <w:bCs w:val="0"/>
      <w:color w:val="0000FF"/>
      <w:szCs w:val="20"/>
    </w:rPr>
  </w:style>
  <w:style w:type="paragraph" w:styleId="9">
    <w:name w:val="heading 9"/>
    <w:basedOn w:val="4"/>
    <w:next w:val="a"/>
    <w:link w:val="90"/>
    <w:qFormat/>
    <w:rsid w:val="002534F7"/>
    <w:pPr>
      <w:numPr>
        <w:ilvl w:val="8"/>
      </w:numPr>
      <w:tabs>
        <w:tab w:val="clear" w:pos="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5 Знак"/>
    <w:basedOn w:val="a0"/>
    <w:link w:val="1"/>
    <w:uiPriority w:val="1"/>
    <w:rsid w:val="002534F7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rsid w:val="002534F7"/>
    <w:rPr>
      <w:rFonts w:ascii="Arial" w:eastAsia="Times New Roman" w:hAnsi="Arial" w:cs="Times New Roman"/>
      <w:b/>
      <w:i/>
      <w:color w:val="00FF00"/>
      <w:sz w:val="28"/>
      <w:szCs w:val="20"/>
      <w:lang w:val="en-GB" w:eastAsia="ru-RU"/>
    </w:rPr>
  </w:style>
  <w:style w:type="character" w:customStyle="1" w:styleId="30">
    <w:name w:val="Заголовок 3 Знак"/>
    <w:basedOn w:val="a0"/>
    <w:link w:val="3"/>
    <w:rsid w:val="002534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34F7"/>
    <w:rPr>
      <w:rFonts w:ascii="Arial" w:eastAsia="Times New Roman" w:hAnsi="Arial" w:cs="Times New Roman"/>
      <w:b/>
      <w:color w:val="FF00FF"/>
      <w:sz w:val="20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2534F7"/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2534F7"/>
    <w:rPr>
      <w:rFonts w:ascii="Arial" w:eastAsia="Times New Roman" w:hAnsi="Arial" w:cs="Times New Roman"/>
      <w:b/>
      <w:caps/>
      <w:color w:val="FF0000"/>
      <w:kern w:val="32"/>
      <w:sz w:val="32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2534F7"/>
    <w:rPr>
      <w:rFonts w:ascii="Arial" w:eastAsia="Times New Roman" w:hAnsi="Arial" w:cs="Times New Roman"/>
      <w:b/>
      <w:i/>
      <w:color w:val="00FF00"/>
      <w:sz w:val="28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rsid w:val="002534F7"/>
    <w:rPr>
      <w:rFonts w:ascii="Arial" w:eastAsia="Times New Roman" w:hAnsi="Arial" w:cs="Times New Roman"/>
      <w:b/>
      <w:color w:val="0000FF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534F7"/>
    <w:rPr>
      <w:rFonts w:ascii="Arial" w:eastAsia="Times New Roman" w:hAnsi="Arial" w:cs="Times New Roman"/>
      <w:b/>
      <w:color w:val="FF00FF"/>
      <w:sz w:val="20"/>
      <w:szCs w:val="20"/>
      <w:lang w:val="en-GB" w:eastAsia="ru-RU"/>
    </w:rPr>
  </w:style>
  <w:style w:type="paragraph" w:styleId="a3">
    <w:name w:val="List Paragraph"/>
    <w:basedOn w:val="a"/>
    <w:link w:val="a4"/>
    <w:uiPriority w:val="34"/>
    <w:qFormat/>
    <w:rsid w:val="002534F7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53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 w:eastAsia="uk-UA" w:bidi="uk-UA"/>
    </w:rPr>
  </w:style>
  <w:style w:type="character" w:customStyle="1" w:styleId="a4">
    <w:name w:val="Абзац списка Знак"/>
    <w:link w:val="a3"/>
    <w:uiPriority w:val="34"/>
    <w:qFormat/>
    <w:rsid w:val="002534F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B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3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6</cp:revision>
  <cp:lastPrinted>2023-01-04T12:22:00Z</cp:lastPrinted>
  <dcterms:created xsi:type="dcterms:W3CDTF">2023-01-04T07:26:00Z</dcterms:created>
  <dcterms:modified xsi:type="dcterms:W3CDTF">2023-01-04T12:22:00Z</dcterms:modified>
</cp:coreProperties>
</file>